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28A6DD4E" w14:textId="77777777" w:rsidR="00AB1F81" w:rsidRDefault="00FE5EAE">
      <w:pPr>
        <w:spacing w:after="60"/>
        <w:jc w:val="center"/>
      </w:pPr>
      <w:r>
        <w:rPr>
          <w:b/>
          <w:bCs/>
          <w:color w:val="595959"/>
          <w:sz w:val="22"/>
          <w:szCs w:val="22"/>
        </w:rPr>
        <w:t>TÜRKİYE SATRANÇ FEDERASYONU</w:t>
      </w:r>
    </w:p>
    <w:p w14:paraId="2484CB16" w14:textId="77777777" w:rsidR="00AB1F81" w:rsidRDefault="00FE5EAE">
      <w:pPr>
        <w:spacing w:after="40"/>
        <w:jc w:val="center"/>
      </w:pPr>
      <w:r>
        <w:rPr>
          <w:b/>
          <w:bCs/>
          <w:color w:val="1F3864"/>
          <w:sz w:val="38"/>
          <w:szCs w:val="38"/>
        </w:rPr>
        <w:t>ERİŞİLEBİLİR SATRANÇ REHBERİ</w:t>
      </w:r>
    </w:p>
    <w:p w14:paraId="7BE4E803" w14:textId="167C3CD1" w:rsidR="00AB1F81" w:rsidRDefault="00FE5EAE">
      <w:pPr>
        <w:spacing w:after="260"/>
        <w:jc w:val="center"/>
      </w:pPr>
      <w:r>
        <w:rPr>
          <w:i/>
          <w:iCs/>
          <w:color w:val="595959"/>
        </w:rPr>
        <w:t xml:space="preserve"> Ekim 2026</w:t>
      </w:r>
    </w:p>
    <w:tbl>
      <w:tblPr>
        <w:tblW w:w="5000" w:type="pct"/>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left w:w="10" w:type="dxa"/>
          <w:right w:w="10" w:type="dxa"/>
        </w:tblCellMar>
        <w:tblLook w:val="04A0" w:firstRow="1" w:lastRow="0" w:firstColumn="1" w:lastColumn="0" w:noHBand="0" w:noVBand="1"/>
      </w:tblPr>
      <w:tblGrid>
        <w:gridCol w:w="9596"/>
      </w:tblGrid>
      <w:tr w:rsidR="00AB1F81" w14:paraId="4E0026F5" w14:textId="77777777">
        <w:tc>
          <w:tcPr>
            <w:tcW w:w="0" w:type="auto"/>
            <w:shd w:val="clear" w:color="auto" w:fill="DDF1EC"/>
            <w:tcMar>
              <w:top w:w="140" w:type="dxa"/>
              <w:left w:w="200" w:type="dxa"/>
              <w:bottom w:w="100" w:type="dxa"/>
              <w:right w:w="200" w:type="dxa"/>
            </w:tcMar>
          </w:tcPr>
          <w:p w14:paraId="17A5AD95" w14:textId="77777777" w:rsidR="00AB1F81" w:rsidRDefault="00FE5EAE">
            <w:pPr>
              <w:spacing w:after="90" w:line="276" w:lineRule="auto"/>
              <w:jc w:val="both"/>
            </w:pPr>
            <w:r>
              <w:rPr>
                <w:b/>
                <w:bCs/>
                <w:color w:val="1F3864"/>
                <w:sz w:val="22"/>
                <w:szCs w:val="22"/>
              </w:rPr>
              <w:t>Duruşumuz</w:t>
            </w:r>
          </w:p>
          <w:p w14:paraId="4A00F596" w14:textId="77777777" w:rsidR="00AB1F81" w:rsidRDefault="00FE5EAE">
            <w:pPr>
              <w:spacing w:after="90" w:line="276" w:lineRule="auto"/>
              <w:jc w:val="both"/>
            </w:pPr>
            <w:r>
              <w:t>Satranç, engelli sporcular ile engelli olmayan sporcuların aynı yarışmada, aynı kurallarla ve eşit koşullarda yarışabildiği bir spordur. Türkiye Satranç Federasyonu, düzenlediği ve şartnamesini belirlediği her turnuvada engelli sporcuların, refakatçilerinin ve engelli izleyicilerin eşit koşullarda yer alabilmesini organizasyonun temel şartı sayar. Erişilebilirlik, talep geldiğinde sonradan eklenen bir düzenleme değil; salon seçilirken, yönerge yazılırken ve görevli brifingi yapılırken baştan planlanan bir organizasyon standardıdır.</w:t>
            </w:r>
          </w:p>
          <w:p w14:paraId="21DA47C5" w14:textId="77777777" w:rsidR="00AB1F81" w:rsidRDefault="00FE5EAE">
            <w:pPr>
              <w:spacing w:after="90" w:line="276" w:lineRule="auto"/>
              <w:jc w:val="both"/>
            </w:pPr>
            <w:r>
              <w:t>Bu rehber, federasyonun bu konudaki taahhüdünü ve engelli sporcuların turnuvalarda ne bekleyebileceğini herkesin görebileceği biçimde ortaya koyar. Organizatörlerin uygulayacağı ayrıntılı ölçütler, organizasyon şartnamelerine ek olan Erişilebilirlik Kontrol Listesi'ndedir.</w:t>
            </w:r>
          </w:p>
        </w:tc>
      </w:tr>
    </w:tbl>
    <w:p w14:paraId="76E36F66" w14:textId="77777777" w:rsidR="00AB1F81" w:rsidRDefault="00FE5EAE">
      <w:pPr>
        <w:keepNext/>
        <w:pBdr>
          <w:bottom w:val="single" w:sz="6" w:space="4" w:color="1F3864"/>
        </w:pBdr>
        <w:spacing w:before="320" w:after="140"/>
      </w:pPr>
      <w:r>
        <w:rPr>
          <w:b/>
          <w:bCs/>
          <w:color w:val="1F3864"/>
          <w:sz w:val="25"/>
          <w:szCs w:val="25"/>
        </w:rPr>
        <w:t>1. BU REHBER KİMİN İÇİN</w:t>
      </w:r>
    </w:p>
    <w:p w14:paraId="0E359990" w14:textId="77777777" w:rsidR="00AB1F81" w:rsidRDefault="00FE5EAE">
      <w:pPr>
        <w:spacing w:after="130" w:line="276" w:lineRule="auto"/>
        <w:jc w:val="both"/>
      </w:pPr>
      <w:r>
        <w:t>Rehber dört okuyucuya seslenir. Engelli sporcular ve aileleri, bir turnuvaya katılmadan önce neyi bekleyebileceklerini ve ihtiyaçlarını nasıl bildireceklerini buradan öğrenir. İl temsilcilikleri, kulüpler ve organizasyon firmaları, bir turnuva düzenlerken federasyonun nelerin sağlanmasını beklediğini görür. Hakemler ve görevliler, salonda engelli sporcuyla nasıl çalışacaklarını bulur. Salon, otel ve tesis sahipleri ise satranç etkinliği için bir mekânın hangi özellikleri taşıması gerektiğini öğrenir.</w:t>
      </w:r>
    </w:p>
    <w:p w14:paraId="3950E661" w14:textId="77777777" w:rsidR="00AB1F81" w:rsidRDefault="00FE5EAE">
      <w:pPr>
        <w:spacing w:after="130" w:line="276" w:lineRule="auto"/>
        <w:jc w:val="both"/>
      </w:pPr>
      <w:r>
        <w:t>Rehber, federasyonun düzenlediği tüm ulusal şampiyonaları, ligleri ve şartnamesini belirlediği il ve kulüp turnuvalarını kapsar. Görme engelli, bedensel engelli ve işitme engelli sporcuların kendi federasyonları bünyesindeki yarışmaları bu rehberin konusu değildir.</w:t>
      </w:r>
    </w:p>
    <w:p w14:paraId="6FA2F280" w14:textId="77777777" w:rsidR="00AB1F81" w:rsidRDefault="00FE5EAE">
      <w:pPr>
        <w:keepNext/>
        <w:pBdr>
          <w:bottom w:val="single" w:sz="6" w:space="4" w:color="1F3864"/>
        </w:pBdr>
        <w:spacing w:before="320" w:after="140"/>
      </w:pPr>
      <w:r>
        <w:rPr>
          <w:b/>
          <w:bCs/>
          <w:color w:val="1F3864"/>
          <w:sz w:val="25"/>
          <w:szCs w:val="25"/>
        </w:rPr>
        <w:t>2. İLKELERİMİZ</w:t>
      </w:r>
    </w:p>
    <w:p w14:paraId="593DFB7B" w14:textId="77777777" w:rsidR="00AB1F81" w:rsidRDefault="00FE5EAE">
      <w:pPr>
        <w:spacing w:after="90" w:line="276" w:lineRule="auto"/>
        <w:ind w:left="360" w:hanging="280"/>
        <w:jc w:val="both"/>
      </w:pPr>
      <w:r>
        <w:t xml:space="preserve">•  </w:t>
      </w:r>
      <w:r>
        <w:rPr>
          <w:b/>
          <w:bCs/>
        </w:rPr>
        <w:t xml:space="preserve">Önceden planlanır. </w:t>
      </w:r>
      <w:r>
        <w:t>Erişilebilirlik salon seçilirken, yönerge yazılırken ve bütçe yapılırken ele alınır; sporcu geldikten sonra çözüm aranmaz.</w:t>
      </w:r>
    </w:p>
    <w:p w14:paraId="39E57593" w14:textId="77777777" w:rsidR="00AB1F81" w:rsidRDefault="00FE5EAE">
      <w:pPr>
        <w:spacing w:after="90" w:line="276" w:lineRule="auto"/>
        <w:ind w:left="360" w:hanging="280"/>
        <w:jc w:val="both"/>
      </w:pPr>
      <w:r>
        <w:t xml:space="preserve">•  </w:t>
      </w:r>
      <w:r>
        <w:rPr>
          <w:b/>
          <w:bCs/>
        </w:rPr>
        <w:t xml:space="preserve">Sporcu söyler, biz düzenleriz. </w:t>
      </w:r>
      <w:r>
        <w:t>Her kayıt formunda erişilebilirlik ihtiyacı sorulur. Bildirilen her ihtiyaç kayıt altına alınır, sporcuya etkinlikten önce dönülür ve ne yapıldığı yazılı olarak bildirilir. İhtiyacını bildirmeyen sporcuya da salonda imkân ölçüsünde yardımcı olunur.</w:t>
      </w:r>
    </w:p>
    <w:p w14:paraId="32DC64B7" w14:textId="77777777" w:rsidR="00AB1F81" w:rsidRDefault="00FE5EAE">
      <w:pPr>
        <w:spacing w:after="90" w:line="276" w:lineRule="auto"/>
        <w:ind w:left="360" w:hanging="280"/>
        <w:jc w:val="both"/>
      </w:pPr>
      <w:r>
        <w:t xml:space="preserve">•  </w:t>
      </w:r>
      <w:r>
        <w:rPr>
          <w:b/>
          <w:bCs/>
        </w:rPr>
        <w:t xml:space="preserve">Aynı yarışma, aynı kurallar. </w:t>
      </w:r>
      <w:r>
        <w:t>Engelli sporcu aynı turnuvada, aynı eşleştirmede, aynı kurallarla yarışır. Düzenlemeler yarışmayı kolaylaştırmaz; yarışmaya erişimi sağlar. Gereksinimi olan tüm engelli sporculara ilişkin FIDE kuralları ve hakem gözetiminde asistan kullanımı bu çerçevede uygulanır.</w:t>
      </w:r>
    </w:p>
    <w:p w14:paraId="4C1091ED" w14:textId="77777777" w:rsidR="00AB1F81" w:rsidRDefault="00FE5EAE">
      <w:pPr>
        <w:spacing w:after="90" w:line="276" w:lineRule="auto"/>
        <w:ind w:left="360" w:hanging="280"/>
        <w:jc w:val="both"/>
      </w:pPr>
      <w:r>
        <w:t xml:space="preserve">•  </w:t>
      </w:r>
      <w:r>
        <w:rPr>
          <w:b/>
          <w:bCs/>
        </w:rPr>
        <w:t xml:space="preserve">Saygı ve özerklik. </w:t>
      </w:r>
      <w:r>
        <w:t>Yardım teklif edilir, dayatılmaz. Sporcunun mobilite aracına, bastonuna ya da rehber köpeğine izinsiz dokunulmaz. Sporcuyla konuşulur, refakatçisiyle değil.</w:t>
      </w:r>
    </w:p>
    <w:p w14:paraId="32BB1BF2" w14:textId="77777777" w:rsidR="00AB1F81" w:rsidRDefault="00FE5EAE">
      <w:pPr>
        <w:spacing w:after="90" w:line="276" w:lineRule="auto"/>
        <w:ind w:left="360" w:hanging="280"/>
        <w:jc w:val="both"/>
      </w:pPr>
      <w:r>
        <w:t xml:space="preserve">•  </w:t>
      </w:r>
      <w:r>
        <w:rPr>
          <w:b/>
          <w:bCs/>
        </w:rPr>
        <w:t xml:space="preserve">Bilgi herkese ulaşır. </w:t>
      </w:r>
      <w:r>
        <w:t>Yönerge, eşleştirme, program ve acil duyurular tüm engel gruplarındaki katılımcıların ulaşabileceği biçimde yayımlanır.</w:t>
      </w:r>
    </w:p>
    <w:p w14:paraId="4F2BED80" w14:textId="77777777" w:rsidR="00AB1F81" w:rsidRDefault="00FE5EAE">
      <w:pPr>
        <w:spacing w:after="90" w:line="276" w:lineRule="auto"/>
        <w:ind w:left="360" w:hanging="280"/>
        <w:jc w:val="both"/>
      </w:pPr>
      <w:r>
        <w:t xml:space="preserve">•  </w:t>
      </w:r>
      <w:r>
        <w:rPr>
          <w:b/>
          <w:bCs/>
        </w:rPr>
        <w:t xml:space="preserve">Ölçülür ve iyileştirilir. </w:t>
      </w:r>
      <w:r>
        <w:t>Her etkinlikte erişilebilirlik kontrol listesi doldurulur, talepler ve sorunlar kaydedilir, bir sonraki etkinlik bu kayıtlara göre planlanır.</w:t>
      </w:r>
    </w:p>
    <w:p w14:paraId="6343387D" w14:textId="77777777" w:rsidR="00AB1F81" w:rsidRDefault="00FE5EAE">
      <w:pPr>
        <w:keepNext/>
        <w:pBdr>
          <w:bottom w:val="single" w:sz="6" w:space="4" w:color="1F3864"/>
        </w:pBdr>
        <w:spacing w:before="320" w:after="140"/>
      </w:pPr>
      <w:r>
        <w:rPr>
          <w:b/>
          <w:bCs/>
          <w:color w:val="1F3864"/>
          <w:sz w:val="25"/>
          <w:szCs w:val="25"/>
        </w:rPr>
        <w:t>3. KİMLERİ KAPSIYOR, SATRANÇTA NE ANLAMA GELİYOR</w:t>
      </w:r>
    </w:p>
    <w:p w14:paraId="24DB1051" w14:textId="77777777" w:rsidR="00AB1F81" w:rsidRDefault="00FE5EAE">
      <w:pPr>
        <w:spacing w:after="130" w:line="276" w:lineRule="auto"/>
        <w:jc w:val="both"/>
      </w:pPr>
      <w:r>
        <w:t>Engel türleri farklı ihtiyaçlar doğurur. Aşağıdaki tablo, en sık karşılaşılan durumları ve turnuvada karşılığını özetler; liste sınırlayıcı değildir ve her sporcunun ihtiyacı kendisine sorularak belirlenir.</w:t>
      </w:r>
    </w:p>
    <w:tbl>
      <w:tblPr>
        <w:tblW w:w="93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600"/>
        <w:gridCol w:w="6700"/>
      </w:tblGrid>
      <w:tr w:rsidR="00AB1F81" w14:paraId="2B107CC0" w14:textId="77777777">
        <w:trPr>
          <w:tblHeader/>
        </w:trPr>
        <w:tc>
          <w:tcPr>
            <w:tcW w:w="2600" w:type="dxa"/>
            <w:tcBorders>
              <w:top w:val="single" w:sz="4" w:space="0" w:color="BFBFBF"/>
              <w:left w:val="single" w:sz="4" w:space="0" w:color="BFBFBF"/>
              <w:bottom w:val="single" w:sz="4" w:space="0" w:color="BFBFBF"/>
              <w:right w:val="single" w:sz="4" w:space="0" w:color="BFBFBF"/>
            </w:tcBorders>
            <w:shd w:val="clear" w:color="auto" w:fill="1F3864"/>
            <w:tcMar>
              <w:top w:w="60" w:type="dxa"/>
              <w:left w:w="90" w:type="dxa"/>
              <w:bottom w:w="60" w:type="dxa"/>
              <w:right w:w="90" w:type="dxa"/>
            </w:tcMar>
            <w:vAlign w:val="center"/>
          </w:tcPr>
          <w:p w14:paraId="030DC567" w14:textId="77777777" w:rsidR="00AB1F81" w:rsidRDefault="00FE5EAE">
            <w:pPr>
              <w:spacing w:line="250" w:lineRule="auto"/>
            </w:pPr>
            <w:r>
              <w:rPr>
                <w:b/>
                <w:bCs/>
                <w:color w:val="FFFFFF"/>
                <w:sz w:val="17"/>
                <w:szCs w:val="17"/>
              </w:rPr>
              <w:lastRenderedPageBreak/>
              <w:t>Durum</w:t>
            </w:r>
          </w:p>
        </w:tc>
        <w:tc>
          <w:tcPr>
            <w:tcW w:w="6700" w:type="dxa"/>
            <w:tcBorders>
              <w:top w:val="single" w:sz="4" w:space="0" w:color="BFBFBF"/>
              <w:left w:val="single" w:sz="4" w:space="0" w:color="BFBFBF"/>
              <w:bottom w:val="single" w:sz="4" w:space="0" w:color="BFBFBF"/>
              <w:right w:val="single" w:sz="4" w:space="0" w:color="BFBFBF"/>
            </w:tcBorders>
            <w:shd w:val="clear" w:color="auto" w:fill="1F3864"/>
            <w:tcMar>
              <w:top w:w="60" w:type="dxa"/>
              <w:left w:w="90" w:type="dxa"/>
              <w:bottom w:w="60" w:type="dxa"/>
              <w:right w:w="90" w:type="dxa"/>
            </w:tcMar>
            <w:vAlign w:val="center"/>
          </w:tcPr>
          <w:p w14:paraId="425AA8F4" w14:textId="77777777" w:rsidR="00AB1F81" w:rsidRDefault="00FE5EAE">
            <w:pPr>
              <w:spacing w:line="250" w:lineRule="auto"/>
            </w:pPr>
            <w:r>
              <w:rPr>
                <w:b/>
                <w:bCs/>
                <w:color w:val="FFFFFF"/>
                <w:sz w:val="17"/>
                <w:szCs w:val="17"/>
              </w:rPr>
              <w:t>Turnuvada ne gerekir</w:t>
            </w:r>
          </w:p>
        </w:tc>
      </w:tr>
      <w:tr w:rsidR="00AB1F81" w14:paraId="28987838" w14:textId="77777777">
        <w:trPr>
          <w:cantSplit/>
        </w:trPr>
        <w:tc>
          <w:tcPr>
            <w:tcW w:w="2600" w:type="dxa"/>
            <w:tcBorders>
              <w:top w:val="single" w:sz="4" w:space="0" w:color="BFBFBF"/>
              <w:left w:val="single" w:sz="4" w:space="0" w:color="BFBFBF"/>
              <w:bottom w:val="single" w:sz="4" w:space="0" w:color="BFBFBF"/>
              <w:right w:val="single" w:sz="4" w:space="0" w:color="BFBFBF"/>
            </w:tcBorders>
            <w:tcMar>
              <w:top w:w="60" w:type="dxa"/>
              <w:left w:w="90" w:type="dxa"/>
              <w:bottom w:w="60" w:type="dxa"/>
              <w:right w:w="90" w:type="dxa"/>
            </w:tcMar>
            <w:vAlign w:val="center"/>
          </w:tcPr>
          <w:p w14:paraId="328E8FA4" w14:textId="77777777" w:rsidR="00AB1F81" w:rsidRDefault="00FE5EAE">
            <w:pPr>
              <w:spacing w:line="250" w:lineRule="auto"/>
            </w:pPr>
            <w:r>
              <w:rPr>
                <w:b/>
                <w:bCs/>
                <w:color w:val="000000"/>
                <w:sz w:val="17"/>
                <w:szCs w:val="17"/>
              </w:rPr>
              <w:t>Tekerlekli sandalye kullanan ya da yürüme güçlüğü olan sporcu</w:t>
            </w:r>
          </w:p>
        </w:tc>
        <w:tc>
          <w:tcPr>
            <w:tcW w:w="6700" w:type="dxa"/>
            <w:tcBorders>
              <w:top w:val="single" w:sz="4" w:space="0" w:color="BFBFBF"/>
              <w:left w:val="single" w:sz="4" w:space="0" w:color="BFBFBF"/>
              <w:bottom w:val="single" w:sz="4" w:space="0" w:color="BFBFBF"/>
              <w:right w:val="single" w:sz="4" w:space="0" w:color="BFBFBF"/>
            </w:tcBorders>
            <w:tcMar>
              <w:top w:w="60" w:type="dxa"/>
              <w:left w:w="90" w:type="dxa"/>
              <w:bottom w:w="60" w:type="dxa"/>
              <w:right w:w="90" w:type="dxa"/>
            </w:tcMar>
            <w:vAlign w:val="center"/>
          </w:tcPr>
          <w:p w14:paraId="222961C5" w14:textId="77777777" w:rsidR="00AB1F81" w:rsidRDefault="00FE5EAE">
            <w:pPr>
              <w:spacing w:line="250" w:lineRule="auto"/>
            </w:pPr>
            <w:r>
              <w:rPr>
                <w:color w:val="000000"/>
                <w:sz w:val="17"/>
                <w:szCs w:val="17"/>
              </w:rPr>
              <w:t>Basamaksız giriş ya da rampa, asansör, geniş koridor, altı boş ve uygun yükseklikte, sandalyenin girebileceği genişlikte masa, yakın ve erişilebilir tuvalet, girişe yakın otopark.</w:t>
            </w:r>
          </w:p>
        </w:tc>
      </w:tr>
      <w:tr w:rsidR="00AB1F81" w14:paraId="6C1637B1" w14:textId="77777777">
        <w:trPr>
          <w:cantSplit/>
        </w:trPr>
        <w:tc>
          <w:tcPr>
            <w:tcW w:w="2600" w:type="dxa"/>
            <w:tcBorders>
              <w:top w:val="single" w:sz="4" w:space="0" w:color="BFBFBF"/>
              <w:left w:val="single" w:sz="4" w:space="0" w:color="BFBFBF"/>
              <w:bottom w:val="single" w:sz="4" w:space="0" w:color="BFBFBF"/>
              <w:right w:val="single" w:sz="4" w:space="0" w:color="BFBFBF"/>
            </w:tcBorders>
            <w:shd w:val="clear" w:color="auto" w:fill="EDF1F8"/>
            <w:tcMar>
              <w:top w:w="60" w:type="dxa"/>
              <w:left w:w="90" w:type="dxa"/>
              <w:bottom w:w="60" w:type="dxa"/>
              <w:right w:w="90" w:type="dxa"/>
            </w:tcMar>
            <w:vAlign w:val="center"/>
          </w:tcPr>
          <w:p w14:paraId="7C48B1EA" w14:textId="77777777" w:rsidR="00AB1F81" w:rsidRDefault="00FE5EAE">
            <w:pPr>
              <w:spacing w:line="250" w:lineRule="auto"/>
            </w:pPr>
            <w:r>
              <w:rPr>
                <w:b/>
                <w:bCs/>
                <w:color w:val="000000"/>
                <w:sz w:val="17"/>
                <w:szCs w:val="17"/>
              </w:rPr>
              <w:t>Görme engelli ya da az gören sporcu</w:t>
            </w:r>
          </w:p>
        </w:tc>
        <w:tc>
          <w:tcPr>
            <w:tcW w:w="6700" w:type="dxa"/>
            <w:tcBorders>
              <w:top w:val="single" w:sz="4" w:space="0" w:color="BFBFBF"/>
              <w:left w:val="single" w:sz="4" w:space="0" w:color="BFBFBF"/>
              <w:bottom w:val="single" w:sz="4" w:space="0" w:color="BFBFBF"/>
              <w:right w:val="single" w:sz="4" w:space="0" w:color="BFBFBF"/>
            </w:tcBorders>
            <w:shd w:val="clear" w:color="auto" w:fill="EDF1F8"/>
            <w:tcMar>
              <w:top w:w="60" w:type="dxa"/>
              <w:left w:w="90" w:type="dxa"/>
              <w:bottom w:w="60" w:type="dxa"/>
              <w:right w:w="90" w:type="dxa"/>
            </w:tcMar>
            <w:vAlign w:val="center"/>
          </w:tcPr>
          <w:p w14:paraId="0BDE5958" w14:textId="77777777" w:rsidR="00AB1F81" w:rsidRDefault="00FE5EAE">
            <w:pPr>
              <w:spacing w:line="250" w:lineRule="auto"/>
            </w:pPr>
            <w:r>
              <w:rPr>
                <w:color w:val="000000"/>
                <w:sz w:val="17"/>
                <w:szCs w:val="17"/>
              </w:rPr>
              <w:t>FIDE kurallarına uygun dokunsal tahta ve pimli taşlar, sesli ya da dokunsal saat, notasyon ve saat için asistan izni, sözlü eşleştirme bildirimi, masaya yönlendirme, sabit masa düzeni, büyük punto ve ekran okuyucuyla okunabilen belgeler, kamaşmasız aydınlatma, rehber köpek erişimi, rakibin talep etmesi durumunda görme engelli sporcunun hamlelerini oynaması için asistan desteği.</w:t>
            </w:r>
          </w:p>
        </w:tc>
      </w:tr>
      <w:tr w:rsidR="00AB1F81" w14:paraId="0BB043CD" w14:textId="77777777">
        <w:trPr>
          <w:cantSplit/>
        </w:trPr>
        <w:tc>
          <w:tcPr>
            <w:tcW w:w="2600" w:type="dxa"/>
            <w:tcBorders>
              <w:top w:val="single" w:sz="4" w:space="0" w:color="BFBFBF"/>
              <w:left w:val="single" w:sz="4" w:space="0" w:color="BFBFBF"/>
              <w:bottom w:val="single" w:sz="4" w:space="0" w:color="BFBFBF"/>
              <w:right w:val="single" w:sz="4" w:space="0" w:color="BFBFBF"/>
            </w:tcBorders>
            <w:tcMar>
              <w:top w:w="60" w:type="dxa"/>
              <w:left w:w="90" w:type="dxa"/>
              <w:bottom w:w="60" w:type="dxa"/>
              <w:right w:w="90" w:type="dxa"/>
            </w:tcMar>
            <w:vAlign w:val="center"/>
          </w:tcPr>
          <w:p w14:paraId="2B638061" w14:textId="77777777" w:rsidR="00AB1F81" w:rsidRDefault="00FE5EAE">
            <w:pPr>
              <w:spacing w:line="250" w:lineRule="auto"/>
            </w:pPr>
            <w:r>
              <w:rPr>
                <w:b/>
                <w:bCs/>
                <w:color w:val="000000"/>
                <w:sz w:val="17"/>
                <w:szCs w:val="17"/>
              </w:rPr>
              <w:t>İşitme engelli sporcu</w:t>
            </w:r>
          </w:p>
        </w:tc>
        <w:tc>
          <w:tcPr>
            <w:tcW w:w="6700" w:type="dxa"/>
            <w:tcBorders>
              <w:top w:val="single" w:sz="4" w:space="0" w:color="BFBFBF"/>
              <w:left w:val="single" w:sz="4" w:space="0" w:color="BFBFBF"/>
              <w:bottom w:val="single" w:sz="4" w:space="0" w:color="BFBFBF"/>
              <w:right w:val="single" w:sz="4" w:space="0" w:color="BFBFBF"/>
            </w:tcBorders>
            <w:tcMar>
              <w:top w:w="60" w:type="dxa"/>
              <w:left w:w="90" w:type="dxa"/>
              <w:bottom w:w="60" w:type="dxa"/>
              <w:right w:w="90" w:type="dxa"/>
            </w:tcMar>
            <w:vAlign w:val="center"/>
          </w:tcPr>
          <w:p w14:paraId="2340E57A" w14:textId="77777777" w:rsidR="00AB1F81" w:rsidRDefault="00FE5EAE">
            <w:pPr>
              <w:spacing w:line="250" w:lineRule="auto"/>
            </w:pPr>
            <w:r>
              <w:rPr>
                <w:color w:val="000000"/>
                <w:sz w:val="17"/>
                <w:szCs w:val="17"/>
              </w:rPr>
              <w:t>Hakemle yazılı iletişim,</w:t>
            </w:r>
            <w:r w:rsidR="00D95A9C">
              <w:rPr>
                <w:color w:val="000000"/>
                <w:sz w:val="17"/>
                <w:szCs w:val="17"/>
              </w:rPr>
              <w:t xml:space="preserve"> mümkünse işaret dili bilen hakem görevlendirmesi,</w:t>
            </w:r>
            <w:r>
              <w:rPr>
                <w:color w:val="000000"/>
                <w:sz w:val="17"/>
                <w:szCs w:val="17"/>
              </w:rPr>
              <w:t xml:space="preserve"> tur başlangıcı ve saat uyarılarının görsel olarak da verilmesi, duyuru ekranı, talep halinde teknik toplantı ve törenlerde işaret dili tercümanı.</w:t>
            </w:r>
          </w:p>
        </w:tc>
      </w:tr>
      <w:tr w:rsidR="00AB1F81" w14:paraId="2445A9D6" w14:textId="77777777">
        <w:trPr>
          <w:cantSplit/>
        </w:trPr>
        <w:tc>
          <w:tcPr>
            <w:tcW w:w="2600" w:type="dxa"/>
            <w:tcBorders>
              <w:top w:val="single" w:sz="4" w:space="0" w:color="BFBFBF"/>
              <w:left w:val="single" w:sz="4" w:space="0" w:color="BFBFBF"/>
              <w:bottom w:val="single" w:sz="4" w:space="0" w:color="BFBFBF"/>
              <w:right w:val="single" w:sz="4" w:space="0" w:color="BFBFBF"/>
            </w:tcBorders>
            <w:shd w:val="clear" w:color="auto" w:fill="EDF1F8"/>
            <w:tcMar>
              <w:top w:w="60" w:type="dxa"/>
              <w:left w:w="90" w:type="dxa"/>
              <w:bottom w:w="60" w:type="dxa"/>
              <w:right w:w="90" w:type="dxa"/>
            </w:tcMar>
            <w:vAlign w:val="center"/>
          </w:tcPr>
          <w:p w14:paraId="0425D815" w14:textId="77777777" w:rsidR="00AB1F81" w:rsidRDefault="00FE5EAE">
            <w:pPr>
              <w:spacing w:line="250" w:lineRule="auto"/>
            </w:pPr>
            <w:r>
              <w:rPr>
                <w:b/>
                <w:bCs/>
                <w:color w:val="000000"/>
                <w:sz w:val="17"/>
                <w:szCs w:val="17"/>
              </w:rPr>
              <w:t>El ve kol hareketlerinde kısıtlılık</w:t>
            </w:r>
          </w:p>
        </w:tc>
        <w:tc>
          <w:tcPr>
            <w:tcW w:w="6700" w:type="dxa"/>
            <w:tcBorders>
              <w:top w:val="single" w:sz="4" w:space="0" w:color="BFBFBF"/>
              <w:left w:val="single" w:sz="4" w:space="0" w:color="BFBFBF"/>
              <w:bottom w:val="single" w:sz="4" w:space="0" w:color="BFBFBF"/>
              <w:right w:val="single" w:sz="4" w:space="0" w:color="BFBFBF"/>
            </w:tcBorders>
            <w:shd w:val="clear" w:color="auto" w:fill="EDF1F8"/>
            <w:tcMar>
              <w:top w:w="60" w:type="dxa"/>
              <w:left w:w="90" w:type="dxa"/>
              <w:bottom w:w="60" w:type="dxa"/>
              <w:right w:w="90" w:type="dxa"/>
            </w:tcMar>
            <w:vAlign w:val="center"/>
          </w:tcPr>
          <w:p w14:paraId="3ADF517B" w14:textId="77777777" w:rsidR="00AB1F81" w:rsidRDefault="00FE5EAE">
            <w:pPr>
              <w:spacing w:line="250" w:lineRule="auto"/>
            </w:pPr>
            <w:r>
              <w:rPr>
                <w:color w:val="000000"/>
                <w:sz w:val="17"/>
                <w:szCs w:val="17"/>
              </w:rPr>
              <w:t>Hakem gözetiminde hamle yapma ve saate basma için asistan düzenlemesi; uygun masa ve sandalye.</w:t>
            </w:r>
          </w:p>
        </w:tc>
      </w:tr>
      <w:tr w:rsidR="00AB1F81" w14:paraId="644B9795" w14:textId="77777777">
        <w:trPr>
          <w:cantSplit/>
        </w:trPr>
        <w:tc>
          <w:tcPr>
            <w:tcW w:w="2600" w:type="dxa"/>
            <w:tcBorders>
              <w:top w:val="single" w:sz="4" w:space="0" w:color="BFBFBF"/>
              <w:left w:val="single" w:sz="4" w:space="0" w:color="BFBFBF"/>
              <w:bottom w:val="single" w:sz="4" w:space="0" w:color="BFBFBF"/>
              <w:right w:val="single" w:sz="4" w:space="0" w:color="BFBFBF"/>
            </w:tcBorders>
            <w:tcMar>
              <w:top w:w="60" w:type="dxa"/>
              <w:left w:w="90" w:type="dxa"/>
              <w:bottom w:w="60" w:type="dxa"/>
              <w:right w:w="90" w:type="dxa"/>
            </w:tcMar>
            <w:vAlign w:val="center"/>
          </w:tcPr>
          <w:p w14:paraId="1F913B87" w14:textId="77777777" w:rsidR="00AB1F81" w:rsidRDefault="00FE5EAE">
            <w:pPr>
              <w:spacing w:line="250" w:lineRule="auto"/>
            </w:pPr>
            <w:r>
              <w:rPr>
                <w:b/>
                <w:bCs/>
                <w:color w:val="000000"/>
                <w:sz w:val="17"/>
                <w:szCs w:val="17"/>
              </w:rPr>
              <w:t>Otizm, dikkat eksikliği ve benzeri nörogelişimsel durumlar</w:t>
            </w:r>
          </w:p>
        </w:tc>
        <w:tc>
          <w:tcPr>
            <w:tcW w:w="6700" w:type="dxa"/>
            <w:tcBorders>
              <w:top w:val="single" w:sz="4" w:space="0" w:color="BFBFBF"/>
              <w:left w:val="single" w:sz="4" w:space="0" w:color="BFBFBF"/>
              <w:bottom w:val="single" w:sz="4" w:space="0" w:color="BFBFBF"/>
              <w:right w:val="single" w:sz="4" w:space="0" w:color="BFBFBF"/>
            </w:tcBorders>
            <w:tcMar>
              <w:top w:w="60" w:type="dxa"/>
              <w:left w:w="90" w:type="dxa"/>
              <w:bottom w:w="60" w:type="dxa"/>
              <w:right w:w="90" w:type="dxa"/>
            </w:tcMar>
            <w:vAlign w:val="center"/>
          </w:tcPr>
          <w:p w14:paraId="21A57A25" w14:textId="77777777" w:rsidR="00AB1F81" w:rsidRDefault="00FE5EAE">
            <w:pPr>
              <w:spacing w:line="250" w:lineRule="auto"/>
            </w:pPr>
            <w:r>
              <w:rPr>
                <w:color w:val="000000"/>
                <w:sz w:val="17"/>
                <w:szCs w:val="17"/>
              </w:rPr>
              <w:t>Öngörülebilir program, salon dışında sessiz dinlenme alanı, gerektiğinde destek kişisinin yakında olabilmesi, görevlilerin sakin ve açık iletişimi.</w:t>
            </w:r>
          </w:p>
        </w:tc>
      </w:tr>
      <w:tr w:rsidR="00AB1F81" w14:paraId="70178A3C" w14:textId="77777777">
        <w:trPr>
          <w:cantSplit/>
        </w:trPr>
        <w:tc>
          <w:tcPr>
            <w:tcW w:w="2600" w:type="dxa"/>
            <w:tcBorders>
              <w:top w:val="single" w:sz="4" w:space="0" w:color="BFBFBF"/>
              <w:left w:val="single" w:sz="4" w:space="0" w:color="BFBFBF"/>
              <w:bottom w:val="single" w:sz="4" w:space="0" w:color="BFBFBF"/>
              <w:right w:val="single" w:sz="4" w:space="0" w:color="BFBFBF"/>
            </w:tcBorders>
            <w:shd w:val="clear" w:color="auto" w:fill="EDF1F8"/>
            <w:tcMar>
              <w:top w:w="60" w:type="dxa"/>
              <w:left w:w="90" w:type="dxa"/>
              <w:bottom w:w="60" w:type="dxa"/>
              <w:right w:w="90" w:type="dxa"/>
            </w:tcMar>
            <w:vAlign w:val="center"/>
          </w:tcPr>
          <w:p w14:paraId="43032D88" w14:textId="77777777" w:rsidR="00AB1F81" w:rsidRDefault="00FE5EAE">
            <w:pPr>
              <w:spacing w:line="250" w:lineRule="auto"/>
            </w:pPr>
            <w:r>
              <w:rPr>
                <w:b/>
                <w:bCs/>
                <w:color w:val="000000"/>
                <w:sz w:val="17"/>
                <w:szCs w:val="17"/>
              </w:rPr>
              <w:t>Diyabet, epilepsi gibi süreğen hastalıklar</w:t>
            </w:r>
          </w:p>
        </w:tc>
        <w:tc>
          <w:tcPr>
            <w:tcW w:w="6700" w:type="dxa"/>
            <w:tcBorders>
              <w:top w:val="single" w:sz="4" w:space="0" w:color="BFBFBF"/>
              <w:left w:val="single" w:sz="4" w:space="0" w:color="BFBFBF"/>
              <w:bottom w:val="single" w:sz="4" w:space="0" w:color="BFBFBF"/>
              <w:right w:val="single" w:sz="4" w:space="0" w:color="BFBFBF"/>
            </w:tcBorders>
            <w:shd w:val="clear" w:color="auto" w:fill="EDF1F8"/>
            <w:tcMar>
              <w:top w:w="60" w:type="dxa"/>
              <w:left w:w="90" w:type="dxa"/>
              <w:bottom w:w="60" w:type="dxa"/>
              <w:right w:w="90" w:type="dxa"/>
            </w:tcMar>
            <w:vAlign w:val="center"/>
          </w:tcPr>
          <w:p w14:paraId="6BF6A4A7" w14:textId="77777777" w:rsidR="00AB1F81" w:rsidRDefault="00FE5EAE">
            <w:pPr>
              <w:spacing w:line="250" w:lineRule="auto"/>
            </w:pPr>
            <w:r>
              <w:rPr>
                <w:color w:val="000000"/>
                <w:sz w:val="17"/>
                <w:szCs w:val="17"/>
              </w:rPr>
              <w:t>Masada ilaç, su ve besin bulundurma izni, sağlık ekibinin önceden bilgilendirilmesi, gerektiğinde kısa mola düzenlemesi.</w:t>
            </w:r>
          </w:p>
        </w:tc>
      </w:tr>
      <w:tr w:rsidR="00AB1F81" w14:paraId="238A36B4" w14:textId="77777777">
        <w:trPr>
          <w:cantSplit/>
        </w:trPr>
        <w:tc>
          <w:tcPr>
            <w:tcW w:w="2600" w:type="dxa"/>
            <w:tcBorders>
              <w:top w:val="single" w:sz="4" w:space="0" w:color="BFBFBF"/>
              <w:left w:val="single" w:sz="4" w:space="0" w:color="BFBFBF"/>
              <w:bottom w:val="single" w:sz="4" w:space="0" w:color="BFBFBF"/>
              <w:right w:val="single" w:sz="4" w:space="0" w:color="BFBFBF"/>
            </w:tcBorders>
            <w:tcMar>
              <w:top w:w="60" w:type="dxa"/>
              <w:left w:w="90" w:type="dxa"/>
              <w:bottom w:w="60" w:type="dxa"/>
              <w:right w:w="90" w:type="dxa"/>
            </w:tcMar>
            <w:vAlign w:val="center"/>
          </w:tcPr>
          <w:p w14:paraId="521F0B78" w14:textId="77777777" w:rsidR="00AB1F81" w:rsidRDefault="00FE5EAE">
            <w:pPr>
              <w:spacing w:line="250" w:lineRule="auto"/>
            </w:pPr>
            <w:r>
              <w:rPr>
                <w:b/>
                <w:bCs/>
                <w:color w:val="000000"/>
                <w:sz w:val="17"/>
                <w:szCs w:val="17"/>
              </w:rPr>
              <w:t>Engelli refakatçi, veli ve izleyiciler</w:t>
            </w:r>
          </w:p>
        </w:tc>
        <w:tc>
          <w:tcPr>
            <w:tcW w:w="6700" w:type="dxa"/>
            <w:tcBorders>
              <w:top w:val="single" w:sz="4" w:space="0" w:color="BFBFBF"/>
              <w:left w:val="single" w:sz="4" w:space="0" w:color="BFBFBF"/>
              <w:bottom w:val="single" w:sz="4" w:space="0" w:color="BFBFBF"/>
              <w:right w:val="single" w:sz="4" w:space="0" w:color="BFBFBF"/>
            </w:tcBorders>
            <w:tcMar>
              <w:top w:w="60" w:type="dxa"/>
              <w:left w:w="90" w:type="dxa"/>
              <w:bottom w:w="60" w:type="dxa"/>
              <w:right w:w="90" w:type="dxa"/>
            </w:tcMar>
            <w:vAlign w:val="center"/>
          </w:tcPr>
          <w:p w14:paraId="0C07D530" w14:textId="77777777" w:rsidR="00AB1F81" w:rsidRDefault="00FE5EAE">
            <w:pPr>
              <w:spacing w:line="250" w:lineRule="auto"/>
            </w:pPr>
            <w:r>
              <w:rPr>
                <w:color w:val="000000"/>
                <w:sz w:val="17"/>
                <w:szCs w:val="17"/>
              </w:rPr>
              <w:t>Bekleme alanında erişilebilir yer, erişilebilir tuvalet, bilgi masasına erişim, törenlerde ayrılmış alan.</w:t>
            </w:r>
          </w:p>
        </w:tc>
      </w:tr>
    </w:tbl>
    <w:p w14:paraId="08616DF0" w14:textId="77777777" w:rsidR="00AB1F81" w:rsidRDefault="00FE5EAE">
      <w:pPr>
        <w:keepNext/>
        <w:pBdr>
          <w:bottom w:val="single" w:sz="6" w:space="4" w:color="1F3864"/>
        </w:pBdr>
        <w:spacing w:before="320" w:after="140"/>
      </w:pPr>
      <w:r>
        <w:rPr>
          <w:b/>
          <w:bCs/>
          <w:color w:val="1F3864"/>
          <w:sz w:val="25"/>
          <w:szCs w:val="25"/>
        </w:rPr>
        <w:t>4. KAYITTAN ÖDÜLE: SPORCU NE BEKLEYEBİLİR</w:t>
      </w:r>
    </w:p>
    <w:p w14:paraId="1CC33BCC" w14:textId="77777777" w:rsidR="00AB1F81" w:rsidRDefault="00FE5EAE">
      <w:pPr>
        <w:spacing w:after="130" w:line="276" w:lineRule="auto"/>
        <w:jc w:val="both"/>
      </w:pPr>
      <w:r>
        <w:t>Aşağıdaki akış, federasyonun düzenlediği her turnuvada engelli sporcunun karşılaşacağı düzeni anlatır. Her adımın organizatör tarafındaki karşılığı Erişilebilirlik Kontrol Listesi'nde yer alır.</w:t>
      </w:r>
    </w:p>
    <w:tbl>
      <w:tblPr>
        <w:tblW w:w="93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200"/>
        <w:gridCol w:w="7100"/>
      </w:tblGrid>
      <w:tr w:rsidR="00AB1F81" w14:paraId="55AB78A1" w14:textId="77777777">
        <w:trPr>
          <w:tblHeader/>
        </w:trPr>
        <w:tc>
          <w:tcPr>
            <w:tcW w:w="2200" w:type="dxa"/>
            <w:tcBorders>
              <w:top w:val="single" w:sz="4" w:space="0" w:color="BFBFBF"/>
              <w:left w:val="single" w:sz="4" w:space="0" w:color="BFBFBF"/>
              <w:bottom w:val="single" w:sz="4" w:space="0" w:color="BFBFBF"/>
              <w:right w:val="single" w:sz="4" w:space="0" w:color="BFBFBF"/>
            </w:tcBorders>
            <w:shd w:val="clear" w:color="auto" w:fill="1F3864"/>
            <w:tcMar>
              <w:top w:w="60" w:type="dxa"/>
              <w:left w:w="90" w:type="dxa"/>
              <w:bottom w:w="60" w:type="dxa"/>
              <w:right w:w="90" w:type="dxa"/>
            </w:tcMar>
            <w:vAlign w:val="center"/>
          </w:tcPr>
          <w:p w14:paraId="08D9D003" w14:textId="77777777" w:rsidR="00AB1F81" w:rsidRDefault="00FE5EAE">
            <w:pPr>
              <w:spacing w:line="250" w:lineRule="auto"/>
            </w:pPr>
            <w:r>
              <w:rPr>
                <w:b/>
                <w:bCs/>
                <w:color w:val="FFFFFF"/>
                <w:sz w:val="17"/>
                <w:szCs w:val="17"/>
              </w:rPr>
              <w:t>Aşama</w:t>
            </w:r>
          </w:p>
        </w:tc>
        <w:tc>
          <w:tcPr>
            <w:tcW w:w="7100" w:type="dxa"/>
            <w:tcBorders>
              <w:top w:val="single" w:sz="4" w:space="0" w:color="BFBFBF"/>
              <w:left w:val="single" w:sz="4" w:space="0" w:color="BFBFBF"/>
              <w:bottom w:val="single" w:sz="4" w:space="0" w:color="BFBFBF"/>
              <w:right w:val="single" w:sz="4" w:space="0" w:color="BFBFBF"/>
            </w:tcBorders>
            <w:shd w:val="clear" w:color="auto" w:fill="1F3864"/>
            <w:tcMar>
              <w:top w:w="60" w:type="dxa"/>
              <w:left w:w="90" w:type="dxa"/>
              <w:bottom w:w="60" w:type="dxa"/>
              <w:right w:w="90" w:type="dxa"/>
            </w:tcMar>
            <w:vAlign w:val="center"/>
          </w:tcPr>
          <w:p w14:paraId="270DC0D5" w14:textId="77777777" w:rsidR="00AB1F81" w:rsidRDefault="00FE5EAE">
            <w:pPr>
              <w:spacing w:line="250" w:lineRule="auto"/>
            </w:pPr>
            <w:r>
              <w:rPr>
                <w:b/>
                <w:bCs/>
                <w:color w:val="FFFFFF"/>
                <w:sz w:val="17"/>
                <w:szCs w:val="17"/>
              </w:rPr>
              <w:t>Sporcu ve ailesi ne görür</w:t>
            </w:r>
          </w:p>
        </w:tc>
      </w:tr>
      <w:tr w:rsidR="00AB1F81" w14:paraId="45ADF3A1" w14:textId="77777777">
        <w:trPr>
          <w:cantSplit/>
        </w:trPr>
        <w:tc>
          <w:tcPr>
            <w:tcW w:w="2200" w:type="dxa"/>
            <w:tcBorders>
              <w:top w:val="single" w:sz="4" w:space="0" w:color="BFBFBF"/>
              <w:left w:val="single" w:sz="4" w:space="0" w:color="BFBFBF"/>
              <w:bottom w:val="single" w:sz="4" w:space="0" w:color="BFBFBF"/>
              <w:right w:val="single" w:sz="4" w:space="0" w:color="BFBFBF"/>
            </w:tcBorders>
            <w:tcMar>
              <w:top w:w="60" w:type="dxa"/>
              <w:left w:w="90" w:type="dxa"/>
              <w:bottom w:w="60" w:type="dxa"/>
              <w:right w:w="90" w:type="dxa"/>
            </w:tcMar>
            <w:vAlign w:val="center"/>
          </w:tcPr>
          <w:p w14:paraId="2E3F9CBE" w14:textId="77777777" w:rsidR="00AB1F81" w:rsidRDefault="00FE5EAE">
            <w:pPr>
              <w:spacing w:line="250" w:lineRule="auto"/>
            </w:pPr>
            <w:r>
              <w:rPr>
                <w:b/>
                <w:bCs/>
                <w:color w:val="000000"/>
                <w:sz w:val="17"/>
                <w:szCs w:val="17"/>
              </w:rPr>
              <w:t>Yönerge yayımlandığında</w:t>
            </w:r>
          </w:p>
        </w:tc>
        <w:tc>
          <w:tcPr>
            <w:tcW w:w="7100" w:type="dxa"/>
            <w:tcBorders>
              <w:top w:val="single" w:sz="4" w:space="0" w:color="BFBFBF"/>
              <w:left w:val="single" w:sz="4" w:space="0" w:color="BFBFBF"/>
              <w:bottom w:val="single" w:sz="4" w:space="0" w:color="BFBFBF"/>
              <w:right w:val="single" w:sz="4" w:space="0" w:color="BFBFBF"/>
            </w:tcBorders>
            <w:tcMar>
              <w:top w:w="60" w:type="dxa"/>
              <w:left w:w="90" w:type="dxa"/>
              <w:bottom w:w="60" w:type="dxa"/>
              <w:right w:w="90" w:type="dxa"/>
            </w:tcMar>
            <w:vAlign w:val="center"/>
          </w:tcPr>
          <w:p w14:paraId="596D0036" w14:textId="77777777" w:rsidR="00AB1F81" w:rsidRDefault="00FE5EAE">
            <w:pPr>
              <w:spacing w:line="250" w:lineRule="auto"/>
            </w:pPr>
            <w:r>
              <w:rPr>
                <w:color w:val="000000"/>
                <w:sz w:val="17"/>
                <w:szCs w:val="17"/>
              </w:rPr>
              <w:t>Yönergede mekânın erişilebilirlik bilgisi (basamaksız giriş, asansör, erişilebilir tuvalet, engelli otoparkı, salonun katı) ve etkinliğin erişilebilirlik sorumlusunun adı ile iletişim bilgisi yazar.</w:t>
            </w:r>
          </w:p>
        </w:tc>
      </w:tr>
      <w:tr w:rsidR="00AB1F81" w14:paraId="764A70C3" w14:textId="77777777">
        <w:trPr>
          <w:cantSplit/>
        </w:trPr>
        <w:tc>
          <w:tcPr>
            <w:tcW w:w="2200" w:type="dxa"/>
            <w:tcBorders>
              <w:top w:val="single" w:sz="4" w:space="0" w:color="BFBFBF"/>
              <w:left w:val="single" w:sz="4" w:space="0" w:color="BFBFBF"/>
              <w:bottom w:val="single" w:sz="4" w:space="0" w:color="BFBFBF"/>
              <w:right w:val="single" w:sz="4" w:space="0" w:color="BFBFBF"/>
            </w:tcBorders>
            <w:shd w:val="clear" w:color="auto" w:fill="EDF1F8"/>
            <w:tcMar>
              <w:top w:w="60" w:type="dxa"/>
              <w:left w:w="90" w:type="dxa"/>
              <w:bottom w:w="60" w:type="dxa"/>
              <w:right w:w="90" w:type="dxa"/>
            </w:tcMar>
            <w:vAlign w:val="center"/>
          </w:tcPr>
          <w:p w14:paraId="3D68436D" w14:textId="77777777" w:rsidR="00AB1F81" w:rsidRDefault="00FE5EAE">
            <w:pPr>
              <w:spacing w:line="250" w:lineRule="auto"/>
            </w:pPr>
            <w:r>
              <w:rPr>
                <w:b/>
                <w:bCs/>
                <w:color w:val="000000"/>
                <w:sz w:val="17"/>
                <w:szCs w:val="17"/>
              </w:rPr>
              <w:t>Kayıt sırasında</w:t>
            </w:r>
          </w:p>
        </w:tc>
        <w:tc>
          <w:tcPr>
            <w:tcW w:w="7100" w:type="dxa"/>
            <w:tcBorders>
              <w:top w:val="single" w:sz="4" w:space="0" w:color="BFBFBF"/>
              <w:left w:val="single" w:sz="4" w:space="0" w:color="BFBFBF"/>
              <w:bottom w:val="single" w:sz="4" w:space="0" w:color="BFBFBF"/>
              <w:right w:val="single" w:sz="4" w:space="0" w:color="BFBFBF"/>
            </w:tcBorders>
            <w:shd w:val="clear" w:color="auto" w:fill="EDF1F8"/>
            <w:tcMar>
              <w:top w:w="60" w:type="dxa"/>
              <w:left w:w="90" w:type="dxa"/>
              <w:bottom w:w="60" w:type="dxa"/>
              <w:right w:w="90" w:type="dxa"/>
            </w:tcMar>
            <w:vAlign w:val="center"/>
          </w:tcPr>
          <w:p w14:paraId="63EF8191" w14:textId="77777777" w:rsidR="00AB1F81" w:rsidRDefault="00FE5EAE">
            <w:pPr>
              <w:spacing w:line="250" w:lineRule="auto"/>
            </w:pPr>
            <w:r>
              <w:rPr>
                <w:color w:val="000000"/>
                <w:sz w:val="17"/>
                <w:szCs w:val="17"/>
              </w:rPr>
              <w:t>Kayıt formunda erişilebilirlik ihtiyacı sorulur. Sporcu ihtiyacını ve varsa refakatçi ya da asistanını bildirir. Bildirim son tarihi ve federasyonun cevap süresi yönergede yazılıdır.</w:t>
            </w:r>
          </w:p>
        </w:tc>
      </w:tr>
      <w:tr w:rsidR="00AB1F81" w14:paraId="6D217126" w14:textId="77777777">
        <w:trPr>
          <w:cantSplit/>
        </w:trPr>
        <w:tc>
          <w:tcPr>
            <w:tcW w:w="2200" w:type="dxa"/>
            <w:tcBorders>
              <w:top w:val="single" w:sz="4" w:space="0" w:color="BFBFBF"/>
              <w:left w:val="single" w:sz="4" w:space="0" w:color="BFBFBF"/>
              <w:bottom w:val="single" w:sz="4" w:space="0" w:color="BFBFBF"/>
              <w:right w:val="single" w:sz="4" w:space="0" w:color="BFBFBF"/>
            </w:tcBorders>
            <w:tcMar>
              <w:top w:w="60" w:type="dxa"/>
              <w:left w:w="90" w:type="dxa"/>
              <w:bottom w:w="60" w:type="dxa"/>
              <w:right w:w="90" w:type="dxa"/>
            </w:tcMar>
            <w:vAlign w:val="center"/>
          </w:tcPr>
          <w:p w14:paraId="20D4E7EC" w14:textId="77777777" w:rsidR="00AB1F81" w:rsidRDefault="00FE5EAE">
            <w:pPr>
              <w:spacing w:line="250" w:lineRule="auto"/>
            </w:pPr>
            <w:r>
              <w:rPr>
                <w:b/>
                <w:bCs/>
                <w:color w:val="000000"/>
                <w:sz w:val="17"/>
                <w:szCs w:val="17"/>
              </w:rPr>
              <w:t>Etkinlikten önce</w:t>
            </w:r>
          </w:p>
        </w:tc>
        <w:tc>
          <w:tcPr>
            <w:tcW w:w="7100" w:type="dxa"/>
            <w:tcBorders>
              <w:top w:val="single" w:sz="4" w:space="0" w:color="BFBFBF"/>
              <w:left w:val="single" w:sz="4" w:space="0" w:color="BFBFBF"/>
              <w:bottom w:val="single" w:sz="4" w:space="0" w:color="BFBFBF"/>
              <w:right w:val="single" w:sz="4" w:space="0" w:color="BFBFBF"/>
            </w:tcBorders>
            <w:tcMar>
              <w:top w:w="60" w:type="dxa"/>
              <w:left w:w="90" w:type="dxa"/>
              <w:bottom w:w="60" w:type="dxa"/>
              <w:right w:w="90" w:type="dxa"/>
            </w:tcMar>
            <w:vAlign w:val="center"/>
          </w:tcPr>
          <w:p w14:paraId="22D1FE9C" w14:textId="77777777" w:rsidR="00AB1F81" w:rsidRDefault="00FE5EAE">
            <w:pPr>
              <w:spacing w:line="250" w:lineRule="auto"/>
            </w:pPr>
            <w:r>
              <w:rPr>
                <w:color w:val="000000"/>
                <w:sz w:val="17"/>
                <w:szCs w:val="17"/>
              </w:rPr>
              <w:t>Erişilebilirlik sorumlusu sporcuya ulaşır, ihtiyacı netleştirir ve hangi düzenlemenin yapıldığını yazılı olarak bildirir. Hakem ve görevliler brifingde bilgilendirilir.</w:t>
            </w:r>
          </w:p>
        </w:tc>
      </w:tr>
      <w:tr w:rsidR="00AB1F81" w14:paraId="101ABC77" w14:textId="77777777">
        <w:trPr>
          <w:cantSplit/>
        </w:trPr>
        <w:tc>
          <w:tcPr>
            <w:tcW w:w="2200" w:type="dxa"/>
            <w:tcBorders>
              <w:top w:val="single" w:sz="4" w:space="0" w:color="BFBFBF"/>
              <w:left w:val="single" w:sz="4" w:space="0" w:color="BFBFBF"/>
              <w:bottom w:val="single" w:sz="4" w:space="0" w:color="BFBFBF"/>
              <w:right w:val="single" w:sz="4" w:space="0" w:color="BFBFBF"/>
            </w:tcBorders>
            <w:shd w:val="clear" w:color="auto" w:fill="EDF1F8"/>
            <w:tcMar>
              <w:top w:w="60" w:type="dxa"/>
              <w:left w:w="90" w:type="dxa"/>
              <w:bottom w:w="60" w:type="dxa"/>
              <w:right w:w="90" w:type="dxa"/>
            </w:tcMar>
            <w:vAlign w:val="center"/>
          </w:tcPr>
          <w:p w14:paraId="36FEADC6" w14:textId="77777777" w:rsidR="00AB1F81" w:rsidRDefault="00FE5EAE">
            <w:pPr>
              <w:spacing w:line="250" w:lineRule="auto"/>
            </w:pPr>
            <w:r>
              <w:rPr>
                <w:b/>
                <w:bCs/>
                <w:color w:val="000000"/>
                <w:sz w:val="17"/>
                <w:szCs w:val="17"/>
              </w:rPr>
              <w:t>Mekâna varışta</w:t>
            </w:r>
          </w:p>
        </w:tc>
        <w:tc>
          <w:tcPr>
            <w:tcW w:w="7100" w:type="dxa"/>
            <w:tcBorders>
              <w:top w:val="single" w:sz="4" w:space="0" w:color="BFBFBF"/>
              <w:left w:val="single" w:sz="4" w:space="0" w:color="BFBFBF"/>
              <w:bottom w:val="single" w:sz="4" w:space="0" w:color="BFBFBF"/>
              <w:right w:val="single" w:sz="4" w:space="0" w:color="BFBFBF"/>
            </w:tcBorders>
            <w:shd w:val="clear" w:color="auto" w:fill="EDF1F8"/>
            <w:tcMar>
              <w:top w:w="60" w:type="dxa"/>
              <w:left w:w="90" w:type="dxa"/>
              <w:bottom w:w="60" w:type="dxa"/>
              <w:right w:w="90" w:type="dxa"/>
            </w:tcMar>
            <w:vAlign w:val="center"/>
          </w:tcPr>
          <w:p w14:paraId="635D5F37" w14:textId="77777777" w:rsidR="00AB1F81" w:rsidRDefault="00FE5EAE">
            <w:pPr>
              <w:spacing w:line="250" w:lineRule="auto"/>
            </w:pPr>
            <w:r>
              <w:rPr>
                <w:color w:val="000000"/>
                <w:sz w:val="17"/>
                <w:szCs w:val="17"/>
              </w:rPr>
              <w:t>Girişe yakın engelli otoparkı, basamaksız giriş, yönlendirme tabelaları ve bilgi masasında ulaşılabilir bir görevli vardır. Rehber köpek binaya girer.</w:t>
            </w:r>
          </w:p>
        </w:tc>
      </w:tr>
      <w:tr w:rsidR="00AB1F81" w14:paraId="2B94FCBF" w14:textId="77777777">
        <w:trPr>
          <w:cantSplit/>
        </w:trPr>
        <w:tc>
          <w:tcPr>
            <w:tcW w:w="2200" w:type="dxa"/>
            <w:tcBorders>
              <w:top w:val="single" w:sz="4" w:space="0" w:color="BFBFBF"/>
              <w:left w:val="single" w:sz="4" w:space="0" w:color="BFBFBF"/>
              <w:bottom w:val="single" w:sz="4" w:space="0" w:color="BFBFBF"/>
              <w:right w:val="single" w:sz="4" w:space="0" w:color="BFBFBF"/>
            </w:tcBorders>
            <w:tcMar>
              <w:top w:w="60" w:type="dxa"/>
              <w:left w:w="90" w:type="dxa"/>
              <w:bottom w:w="60" w:type="dxa"/>
              <w:right w:w="90" w:type="dxa"/>
            </w:tcMar>
            <w:vAlign w:val="center"/>
          </w:tcPr>
          <w:p w14:paraId="6CBCE1E4" w14:textId="77777777" w:rsidR="00AB1F81" w:rsidRDefault="00FE5EAE">
            <w:pPr>
              <w:spacing w:line="250" w:lineRule="auto"/>
            </w:pPr>
            <w:r>
              <w:rPr>
                <w:b/>
                <w:bCs/>
                <w:color w:val="000000"/>
                <w:sz w:val="17"/>
                <w:szCs w:val="17"/>
              </w:rPr>
              <w:t>Salonda</w:t>
            </w:r>
          </w:p>
        </w:tc>
        <w:tc>
          <w:tcPr>
            <w:tcW w:w="7100" w:type="dxa"/>
            <w:tcBorders>
              <w:top w:val="single" w:sz="4" w:space="0" w:color="BFBFBF"/>
              <w:left w:val="single" w:sz="4" w:space="0" w:color="BFBFBF"/>
              <w:bottom w:val="single" w:sz="4" w:space="0" w:color="BFBFBF"/>
              <w:right w:val="single" w:sz="4" w:space="0" w:color="BFBFBF"/>
            </w:tcBorders>
            <w:tcMar>
              <w:top w:w="60" w:type="dxa"/>
              <w:left w:w="90" w:type="dxa"/>
              <w:bottom w:w="60" w:type="dxa"/>
              <w:right w:w="90" w:type="dxa"/>
            </w:tcMar>
            <w:vAlign w:val="center"/>
          </w:tcPr>
          <w:p w14:paraId="2532DEAB" w14:textId="77777777" w:rsidR="00AB1F81" w:rsidRDefault="00FE5EAE" w:rsidP="00927C14">
            <w:pPr>
              <w:spacing w:line="250" w:lineRule="auto"/>
            </w:pPr>
            <w:r>
              <w:rPr>
                <w:color w:val="000000"/>
                <w:sz w:val="17"/>
                <w:szCs w:val="17"/>
              </w:rPr>
              <w:t>Sporcunun masası ihtiyacına göre önceden belirlenmiştir: altı boş, sandalyenin girebileceği genişlikte masa; ikinci tahta için yer; hakem masasını gören konum. Refakatçi ya da asistanın oturma yeri ve erişim kartı hazırdır.</w:t>
            </w:r>
          </w:p>
        </w:tc>
      </w:tr>
      <w:tr w:rsidR="00AB1F81" w14:paraId="02B5CC1C" w14:textId="77777777">
        <w:trPr>
          <w:cantSplit/>
        </w:trPr>
        <w:tc>
          <w:tcPr>
            <w:tcW w:w="2200" w:type="dxa"/>
            <w:tcBorders>
              <w:top w:val="single" w:sz="4" w:space="0" w:color="BFBFBF"/>
              <w:left w:val="single" w:sz="4" w:space="0" w:color="BFBFBF"/>
              <w:bottom w:val="single" w:sz="4" w:space="0" w:color="BFBFBF"/>
              <w:right w:val="single" w:sz="4" w:space="0" w:color="BFBFBF"/>
            </w:tcBorders>
            <w:shd w:val="clear" w:color="auto" w:fill="EDF1F8"/>
            <w:tcMar>
              <w:top w:w="60" w:type="dxa"/>
              <w:left w:w="90" w:type="dxa"/>
              <w:bottom w:w="60" w:type="dxa"/>
              <w:right w:w="90" w:type="dxa"/>
            </w:tcMar>
            <w:vAlign w:val="center"/>
          </w:tcPr>
          <w:p w14:paraId="0DB0EED3" w14:textId="77777777" w:rsidR="00AB1F81" w:rsidRDefault="00FE5EAE">
            <w:pPr>
              <w:spacing w:line="250" w:lineRule="auto"/>
            </w:pPr>
            <w:r>
              <w:rPr>
                <w:b/>
                <w:bCs/>
                <w:color w:val="000000"/>
                <w:sz w:val="17"/>
                <w:szCs w:val="17"/>
              </w:rPr>
              <w:t>Maç sırasında</w:t>
            </w:r>
          </w:p>
        </w:tc>
        <w:tc>
          <w:tcPr>
            <w:tcW w:w="7100" w:type="dxa"/>
            <w:tcBorders>
              <w:top w:val="single" w:sz="4" w:space="0" w:color="BFBFBF"/>
              <w:left w:val="single" w:sz="4" w:space="0" w:color="BFBFBF"/>
              <w:bottom w:val="single" w:sz="4" w:space="0" w:color="BFBFBF"/>
              <w:right w:val="single" w:sz="4" w:space="0" w:color="BFBFBF"/>
            </w:tcBorders>
            <w:shd w:val="clear" w:color="auto" w:fill="EDF1F8"/>
            <w:tcMar>
              <w:top w:w="60" w:type="dxa"/>
              <w:left w:w="90" w:type="dxa"/>
              <w:bottom w:w="60" w:type="dxa"/>
              <w:right w:w="90" w:type="dxa"/>
            </w:tcMar>
            <w:vAlign w:val="center"/>
          </w:tcPr>
          <w:p w14:paraId="57C6DA69" w14:textId="77777777" w:rsidR="00AB1F81" w:rsidRDefault="00FE5EAE">
            <w:pPr>
              <w:spacing w:line="250" w:lineRule="auto"/>
            </w:pPr>
            <w:r>
              <w:rPr>
                <w:color w:val="000000"/>
                <w:sz w:val="17"/>
                <w:szCs w:val="17"/>
              </w:rPr>
              <w:t>Görme engelli sporcu kendi tahtasında FIDE kurallarına göre oynar; hamleler sesli bildirilir; saat ve notasyon için düzenleme yapılmıştır. İşitme engelli sporcuyla hakem yazılı ya da işaret diliyle iletişim kurar. Ortopedik ve görme engelli sporcular için gerektiğinde asistan desteği sağlanır. Sağlık ekibi ihtiyaçtan haberdardır.</w:t>
            </w:r>
          </w:p>
        </w:tc>
      </w:tr>
      <w:tr w:rsidR="00AB1F81" w14:paraId="421055AD" w14:textId="77777777">
        <w:trPr>
          <w:cantSplit/>
        </w:trPr>
        <w:tc>
          <w:tcPr>
            <w:tcW w:w="2200" w:type="dxa"/>
            <w:tcBorders>
              <w:top w:val="single" w:sz="4" w:space="0" w:color="BFBFBF"/>
              <w:left w:val="single" w:sz="4" w:space="0" w:color="BFBFBF"/>
              <w:bottom w:val="single" w:sz="4" w:space="0" w:color="BFBFBF"/>
              <w:right w:val="single" w:sz="4" w:space="0" w:color="BFBFBF"/>
            </w:tcBorders>
            <w:tcMar>
              <w:top w:w="60" w:type="dxa"/>
              <w:left w:w="90" w:type="dxa"/>
              <w:bottom w:w="60" w:type="dxa"/>
              <w:right w:w="90" w:type="dxa"/>
            </w:tcMar>
            <w:vAlign w:val="center"/>
          </w:tcPr>
          <w:p w14:paraId="1363F91C" w14:textId="77777777" w:rsidR="00AB1F81" w:rsidRDefault="00FE5EAE">
            <w:pPr>
              <w:spacing w:line="250" w:lineRule="auto"/>
            </w:pPr>
            <w:r>
              <w:rPr>
                <w:b/>
                <w:bCs/>
                <w:color w:val="000000"/>
                <w:sz w:val="17"/>
                <w:szCs w:val="17"/>
              </w:rPr>
              <w:t>Duyurular ve eşleştirmeler</w:t>
            </w:r>
          </w:p>
        </w:tc>
        <w:tc>
          <w:tcPr>
            <w:tcW w:w="7100" w:type="dxa"/>
            <w:tcBorders>
              <w:top w:val="single" w:sz="4" w:space="0" w:color="BFBFBF"/>
              <w:left w:val="single" w:sz="4" w:space="0" w:color="BFBFBF"/>
              <w:bottom w:val="single" w:sz="4" w:space="0" w:color="BFBFBF"/>
              <w:right w:val="single" w:sz="4" w:space="0" w:color="BFBFBF"/>
            </w:tcBorders>
            <w:tcMar>
              <w:top w:w="60" w:type="dxa"/>
              <w:left w:w="90" w:type="dxa"/>
              <w:bottom w:w="60" w:type="dxa"/>
              <w:right w:w="90" w:type="dxa"/>
            </w:tcMar>
            <w:vAlign w:val="center"/>
          </w:tcPr>
          <w:p w14:paraId="7D585DB8" w14:textId="77777777" w:rsidR="00AB1F81" w:rsidRDefault="00FE5EAE">
            <w:pPr>
              <w:spacing w:line="250" w:lineRule="auto"/>
            </w:pPr>
            <w:r>
              <w:rPr>
                <w:color w:val="000000"/>
                <w:sz w:val="17"/>
                <w:szCs w:val="17"/>
              </w:rPr>
              <w:t>Eşleştirmeler ekran okuyucuyla okunabilen biçimde yayımlanır, talep üzerine büyük puntoyla basılır ve görme engelli sporcuya sözlü olarak iletilir. Acil duyurular hem sesli hem yazılı yapılır.</w:t>
            </w:r>
          </w:p>
        </w:tc>
      </w:tr>
      <w:tr w:rsidR="00AB1F81" w14:paraId="3DF5C69A" w14:textId="77777777">
        <w:trPr>
          <w:cantSplit/>
        </w:trPr>
        <w:tc>
          <w:tcPr>
            <w:tcW w:w="2200" w:type="dxa"/>
            <w:tcBorders>
              <w:top w:val="single" w:sz="4" w:space="0" w:color="BFBFBF"/>
              <w:left w:val="single" w:sz="4" w:space="0" w:color="BFBFBF"/>
              <w:bottom w:val="single" w:sz="4" w:space="0" w:color="BFBFBF"/>
              <w:right w:val="single" w:sz="4" w:space="0" w:color="BFBFBF"/>
            </w:tcBorders>
            <w:shd w:val="clear" w:color="auto" w:fill="EDF1F8"/>
            <w:tcMar>
              <w:top w:w="60" w:type="dxa"/>
              <w:left w:w="90" w:type="dxa"/>
              <w:bottom w:w="60" w:type="dxa"/>
              <w:right w:w="90" w:type="dxa"/>
            </w:tcMar>
            <w:vAlign w:val="center"/>
          </w:tcPr>
          <w:p w14:paraId="07B3B507" w14:textId="77777777" w:rsidR="00AB1F81" w:rsidRDefault="00FE5EAE">
            <w:pPr>
              <w:spacing w:line="250" w:lineRule="auto"/>
            </w:pPr>
            <w:r>
              <w:rPr>
                <w:b/>
                <w:bCs/>
                <w:color w:val="000000"/>
                <w:sz w:val="17"/>
                <w:szCs w:val="17"/>
              </w:rPr>
              <w:t>Törenlerde</w:t>
            </w:r>
          </w:p>
        </w:tc>
        <w:tc>
          <w:tcPr>
            <w:tcW w:w="7100" w:type="dxa"/>
            <w:tcBorders>
              <w:top w:val="single" w:sz="4" w:space="0" w:color="BFBFBF"/>
              <w:left w:val="single" w:sz="4" w:space="0" w:color="BFBFBF"/>
              <w:bottom w:val="single" w:sz="4" w:space="0" w:color="BFBFBF"/>
              <w:right w:val="single" w:sz="4" w:space="0" w:color="BFBFBF"/>
            </w:tcBorders>
            <w:shd w:val="clear" w:color="auto" w:fill="EDF1F8"/>
            <w:tcMar>
              <w:top w:w="60" w:type="dxa"/>
              <w:left w:w="90" w:type="dxa"/>
              <w:bottom w:w="60" w:type="dxa"/>
              <w:right w:w="90" w:type="dxa"/>
            </w:tcMar>
            <w:vAlign w:val="center"/>
          </w:tcPr>
          <w:p w14:paraId="14348598" w14:textId="77777777" w:rsidR="00AB1F81" w:rsidRDefault="00FE5EAE">
            <w:pPr>
              <w:spacing w:line="250" w:lineRule="auto"/>
            </w:pPr>
            <w:r>
              <w:rPr>
                <w:color w:val="000000"/>
                <w:sz w:val="17"/>
                <w:szCs w:val="17"/>
              </w:rPr>
              <w:t>Sahne ve ödül alanı erişilebilirdir; talep halinde işaret dili tercümanı bulunur. Engelli izleyiciler için ayrılmış alan vardır.</w:t>
            </w:r>
          </w:p>
        </w:tc>
      </w:tr>
      <w:tr w:rsidR="00AB1F81" w14:paraId="6E8DF849" w14:textId="77777777">
        <w:trPr>
          <w:cantSplit/>
        </w:trPr>
        <w:tc>
          <w:tcPr>
            <w:tcW w:w="2200" w:type="dxa"/>
            <w:tcBorders>
              <w:top w:val="single" w:sz="4" w:space="0" w:color="BFBFBF"/>
              <w:left w:val="single" w:sz="4" w:space="0" w:color="BFBFBF"/>
              <w:bottom w:val="single" w:sz="4" w:space="0" w:color="BFBFBF"/>
              <w:right w:val="single" w:sz="4" w:space="0" w:color="BFBFBF"/>
            </w:tcBorders>
            <w:tcMar>
              <w:top w:w="60" w:type="dxa"/>
              <w:left w:w="90" w:type="dxa"/>
              <w:bottom w:w="60" w:type="dxa"/>
              <w:right w:w="90" w:type="dxa"/>
            </w:tcMar>
            <w:vAlign w:val="center"/>
          </w:tcPr>
          <w:p w14:paraId="18D0C622" w14:textId="77777777" w:rsidR="00AB1F81" w:rsidRDefault="00FE5EAE">
            <w:pPr>
              <w:spacing w:line="250" w:lineRule="auto"/>
            </w:pPr>
            <w:r>
              <w:rPr>
                <w:b/>
                <w:bCs/>
                <w:color w:val="000000"/>
                <w:sz w:val="17"/>
                <w:szCs w:val="17"/>
              </w:rPr>
              <w:t>Etkinlikten sonra</w:t>
            </w:r>
          </w:p>
        </w:tc>
        <w:tc>
          <w:tcPr>
            <w:tcW w:w="7100" w:type="dxa"/>
            <w:tcBorders>
              <w:top w:val="single" w:sz="4" w:space="0" w:color="BFBFBF"/>
              <w:left w:val="single" w:sz="4" w:space="0" w:color="BFBFBF"/>
              <w:bottom w:val="single" w:sz="4" w:space="0" w:color="BFBFBF"/>
              <w:right w:val="single" w:sz="4" w:space="0" w:color="BFBFBF"/>
            </w:tcBorders>
            <w:tcMar>
              <w:top w:w="60" w:type="dxa"/>
              <w:left w:w="90" w:type="dxa"/>
              <w:bottom w:w="60" w:type="dxa"/>
              <w:right w:w="90" w:type="dxa"/>
            </w:tcMar>
            <w:vAlign w:val="center"/>
          </w:tcPr>
          <w:p w14:paraId="1C4DC512" w14:textId="77777777" w:rsidR="00AB1F81" w:rsidRDefault="00FE5EAE">
            <w:pPr>
              <w:spacing w:line="250" w:lineRule="auto"/>
            </w:pPr>
            <w:r>
              <w:rPr>
                <w:color w:val="000000"/>
                <w:sz w:val="17"/>
                <w:szCs w:val="17"/>
              </w:rPr>
              <w:t>İhtiyaç bildiren sporculardan geri bildirim alınır; yaşanan her sorun kayda geçer ve bir sonraki etkinliğin planına yansır.</w:t>
            </w:r>
          </w:p>
        </w:tc>
      </w:tr>
    </w:tbl>
    <w:p w14:paraId="577B03ED" w14:textId="77777777" w:rsidR="00AB1F81" w:rsidRDefault="00FE5EAE">
      <w:pPr>
        <w:keepNext/>
        <w:pBdr>
          <w:bottom w:val="single" w:sz="6" w:space="4" w:color="1F3864"/>
        </w:pBdr>
        <w:spacing w:before="320" w:after="140"/>
      </w:pPr>
      <w:r>
        <w:rPr>
          <w:b/>
          <w:bCs/>
          <w:color w:val="1F3864"/>
          <w:sz w:val="25"/>
          <w:szCs w:val="25"/>
        </w:rPr>
        <w:t>5. MEKÂN: ULAŞIM, SALON VE OTURMA DÜZENİ</w:t>
      </w:r>
    </w:p>
    <w:p w14:paraId="25527B3C" w14:textId="77777777" w:rsidR="00AB1F81" w:rsidRDefault="00FE5EAE">
      <w:pPr>
        <w:spacing w:after="130" w:line="276" w:lineRule="auto"/>
        <w:jc w:val="both"/>
      </w:pPr>
      <w:r>
        <w:t>Erişilebilirliğin büyük bölümü mekân seçiminde belirlenir. Federasyon, turnuva mekânı seçerken ve sözleşme yaparken aşağıdaki koşulları arar; bu koşullar Türk Standardları Enstitüsü'nün binalarda erişilebilirlik standardına (TS 9111) ve Engelliler Hakkında Kanun'a dayanır.</w:t>
      </w:r>
    </w:p>
    <w:p w14:paraId="684E61FE" w14:textId="77777777" w:rsidR="00AB1F81" w:rsidRDefault="00FE5EAE">
      <w:pPr>
        <w:spacing w:after="90" w:line="276" w:lineRule="auto"/>
        <w:ind w:left="360" w:hanging="280"/>
        <w:jc w:val="both"/>
      </w:pPr>
      <w:r>
        <w:lastRenderedPageBreak/>
        <w:t xml:space="preserve">•  </w:t>
      </w:r>
      <w:r>
        <w:rPr>
          <w:b/>
          <w:bCs/>
        </w:rPr>
        <w:t xml:space="preserve">Ulaşım ve giriş: </w:t>
      </w:r>
      <w:r>
        <w:t>Girişe en fazla 50 metre mesafede işaretli engelli otoparkı; basamaksız giriş ya da eğimi en fazla yüzde 8, genişliği en az 90 cm, korkuluklu rampa; net açıklığı en az 90 cm kapılar; salon farklı kattaysa yeterli büyüklükte ve sesli uyarılı asansör.</w:t>
      </w:r>
    </w:p>
    <w:p w14:paraId="22124C21" w14:textId="77777777" w:rsidR="00AB1F81" w:rsidRDefault="00FE5EAE">
      <w:pPr>
        <w:spacing w:after="90" w:line="276" w:lineRule="auto"/>
        <w:ind w:left="360" w:hanging="280"/>
        <w:jc w:val="both"/>
      </w:pPr>
      <w:r>
        <w:t xml:space="preserve">•  </w:t>
      </w:r>
      <w:r>
        <w:rPr>
          <w:b/>
          <w:bCs/>
        </w:rPr>
        <w:t xml:space="preserve">Salon düzeni: </w:t>
      </w:r>
      <w:r>
        <w:t>Masa sıraları arasında en az 120 cm, ana koridorda en az 150 cm geçiş; erişilebilir masaların önünde 150 cm dönüş alanı; kablo, halı kenarı ve eşiklerden arındırılmış geçiş yolları; masa yüksekliği 72–80 cm ve masa altında en az 70 cm boşluk.</w:t>
      </w:r>
    </w:p>
    <w:p w14:paraId="32FF5552" w14:textId="77777777" w:rsidR="00AB1F81" w:rsidRDefault="00FE5EAE">
      <w:pPr>
        <w:spacing w:after="90" w:line="276" w:lineRule="auto"/>
        <w:ind w:left="360" w:hanging="280"/>
        <w:jc w:val="both"/>
      </w:pPr>
      <w:r>
        <w:t xml:space="preserve">•  </w:t>
      </w:r>
      <w:r>
        <w:rPr>
          <w:b/>
          <w:bCs/>
        </w:rPr>
        <w:t xml:space="preserve">Oturma: </w:t>
      </w:r>
      <w:r>
        <w:t>Tekerlekli sandalye kullanan sporcu için sandalyenin girebileceği masa genişliği sağlanır. Refakatçi için yakın oturma yeri ayrılır; bekleme ve izleyici alanında kenarda, sıraların arasında olmayan erişilebilir yer bulunur.</w:t>
      </w:r>
    </w:p>
    <w:p w14:paraId="087901A2" w14:textId="77777777" w:rsidR="00AB1F81" w:rsidRDefault="00FE5EAE">
      <w:pPr>
        <w:spacing w:after="90" w:line="276" w:lineRule="auto"/>
        <w:ind w:left="360" w:hanging="280"/>
        <w:jc w:val="both"/>
      </w:pPr>
      <w:r>
        <w:t xml:space="preserve">•  </w:t>
      </w:r>
      <w:r>
        <w:rPr>
          <w:b/>
          <w:bCs/>
        </w:rPr>
        <w:t xml:space="preserve">Tuvalet ve ortak alanlar: </w:t>
      </w:r>
      <w:r>
        <w:t>Salonla aynı katta ya da en fazla 50 metre mesafede, tutunma barlı ve 150 cm dönüş alanlı erişilebilir tuvalet; etkinlik boyunca açık ve temiz tutulur. Yiyecek-içecek, su ve bilgi masası ulaşılabilir yüksekliktedir.</w:t>
      </w:r>
    </w:p>
    <w:p w14:paraId="25406B56" w14:textId="77777777" w:rsidR="00AB1F81" w:rsidRDefault="00FE5EAE">
      <w:pPr>
        <w:spacing w:after="90" w:line="276" w:lineRule="auto"/>
        <w:ind w:left="360" w:hanging="280"/>
        <w:jc w:val="both"/>
      </w:pPr>
      <w:r>
        <w:t xml:space="preserve">•  </w:t>
      </w:r>
      <w:r>
        <w:rPr>
          <w:b/>
          <w:bCs/>
        </w:rPr>
        <w:t xml:space="preserve">Işık ve ses: </w:t>
      </w:r>
      <w:r>
        <w:t>Masa üstü aydınlatma en az 500 lüks ve kamaşmasız; az gören sporcu için ek masa lambası; duyurular için ekran. Salon dışında sessiz bir dinlenme alanı.</w:t>
      </w:r>
    </w:p>
    <w:p w14:paraId="336280A9" w14:textId="77777777" w:rsidR="00AB1F81" w:rsidRDefault="00FE5EAE">
      <w:pPr>
        <w:spacing w:after="90" w:line="276" w:lineRule="auto"/>
        <w:ind w:left="360" w:hanging="280"/>
        <w:jc w:val="both"/>
      </w:pPr>
      <w:r>
        <w:t xml:space="preserve">•  </w:t>
      </w:r>
      <w:r>
        <w:rPr>
          <w:b/>
          <w:bCs/>
        </w:rPr>
        <w:t xml:space="preserve">Acil durum: </w:t>
      </w:r>
      <w:r>
        <w:t>Tahliye planı engelli katılımcıları kapsar; basamaksız çıkış yolu ya da tahliye sandalyesi, sesli ve görsel alarm, tahliyeden sorumlu görevli.</w:t>
      </w:r>
    </w:p>
    <w:p w14:paraId="64EE92A2" w14:textId="77777777" w:rsidR="00AB1F81" w:rsidRDefault="00FE5EAE">
      <w:pPr>
        <w:keepNext/>
        <w:pBdr>
          <w:bottom w:val="single" w:sz="6" w:space="4" w:color="1F3864"/>
        </w:pBdr>
        <w:spacing w:before="320" w:after="140"/>
      </w:pPr>
      <w:r>
        <w:rPr>
          <w:b/>
          <w:bCs/>
          <w:color w:val="1F3864"/>
          <w:sz w:val="25"/>
          <w:szCs w:val="25"/>
        </w:rPr>
        <w:t>6. MATERYAL VE YARIŞMA KURALLARI</w:t>
      </w:r>
    </w:p>
    <w:p w14:paraId="2F7C3661" w14:textId="77777777" w:rsidR="00AB1F81" w:rsidRDefault="00FE5EAE">
      <w:pPr>
        <w:spacing w:after="130" w:line="276" w:lineRule="auto"/>
        <w:jc w:val="both"/>
      </w:pPr>
      <w:r>
        <w:t>Engelli sporcunun yarışmaya erişimi FIDE Satranç Kuralları çerçevesinde sağlanır. Görme engelli sporcular için kurallarda yer alan özel hükümler federasyonun tüm turnuvalarında uygulanır: sporcu dokunarak oynayabileceği kendi tahtasını kullanabilir, hamleler karşılıklı olarak sesli bildirilir, sporcu isterse notasyonu ve saati bir asistan aracılığıyla takip eder, rakip ise standart tahtada oynar. Rakibin talep etmesi durumunda görme engelli sporcunun standart tahtada oynayabilmesi için asistan desteği sağlanır. Hakem, iki tahta arasındaki uyumu gözetir.</w:t>
      </w:r>
    </w:p>
    <w:p w14:paraId="4B3F05CC" w14:textId="77777777" w:rsidR="00AB1F81" w:rsidRDefault="00FE5EAE">
      <w:pPr>
        <w:spacing w:after="130" w:line="276" w:lineRule="auto"/>
        <w:jc w:val="both"/>
      </w:pPr>
      <w:r>
        <w:t>Federasyon, ulusal şampiyonalarda görme engelli sporcular için dokunsal tahta ve pimli taş setleri ile sesli ya da dokunsal saat bulundurur; sporcu kendi setini de getirebilir. El ve kol hareketlerinde kısıtlılığı olan sporcu için hamle yapma ve saate basma, hakemin gözetiminde bir asistan aracılığıyla düzenlenir. İşitme engelli sporcuyla hakem iletişimi yazılı ya da işaret diliyle yapılır; tur başlangıcı ve zaman uyarıları görsel olarak da verilir. Bu düzenlemeler rakip sporcuya tur öncesinde hakem tarafından açıklanır.</w:t>
      </w:r>
    </w:p>
    <w:p w14:paraId="4BCE45CA" w14:textId="77777777" w:rsidR="00AB1F81" w:rsidRDefault="00FE5EAE">
      <w:pPr>
        <w:spacing w:after="130" w:line="276" w:lineRule="auto"/>
        <w:jc w:val="both"/>
      </w:pPr>
      <w:r>
        <w:t>Eşleştirme ve sonuç listeleri, ekran okuyucuyla okunabilen metin tabanlı biçimde yayımlanır; yalnızca fotoğraf ya da taranmış görüntü olarak paylaşılan bir liste erişilebilir sayılmaz. Talep üzerine büyük puntolu baskı verilir ve görme engelli sporcuya eşleştirmesi, masa numarası ve tur saati görevli tarafından sözlü olarak iletilir.</w:t>
      </w:r>
    </w:p>
    <w:p w14:paraId="435838B0" w14:textId="77777777" w:rsidR="00AB1F81" w:rsidRDefault="00FE5EAE">
      <w:pPr>
        <w:keepNext/>
        <w:pBdr>
          <w:bottom w:val="single" w:sz="6" w:space="4" w:color="1F3864"/>
        </w:pBdr>
        <w:spacing w:before="320" w:after="140"/>
      </w:pPr>
      <w:r>
        <w:rPr>
          <w:b/>
          <w:bCs/>
          <w:color w:val="1F3864"/>
          <w:sz w:val="25"/>
          <w:szCs w:val="25"/>
        </w:rPr>
        <w:t>7. BİLGİ VE İLETİŞİM</w:t>
      </w:r>
    </w:p>
    <w:p w14:paraId="2A839DC4" w14:textId="77777777" w:rsidR="00AB1F81" w:rsidRDefault="00FE5EAE">
      <w:pPr>
        <w:spacing w:after="130" w:line="276" w:lineRule="auto"/>
        <w:jc w:val="both"/>
      </w:pPr>
      <w:r>
        <w:t>Erişilebilirlik yalnızca salonda değil, bilgiye ulaşmada da aranır. Federasyonun ve organizatörlerin yayımladığı yönerge, program, duyuru ve sonuçlar, görme engelli bir kullanıcının ekran okuyucuyla okuyabileceği biçimde hazırlanır; görsel olarak paylaşılan her duyurunun metin karşılığı verilir. Etkinlik iletişim hattında sesli aramanın yanında yazılı mesaj kanalı bulunur. Teknik toplantı, açılış ve ödül törenlerinde talep halinde işaret dili tercümanı sağlanır; talep süresi yönergede yazılır. Acil ve program duyuruları her zaman hem sesli hem yazılı yapılır. Federasyon, kendi web sitesini ve kayıt sistemini klavyeyle ve ekran okuyucuyla kullanılabilir hale getirmeyi bu rehberin parçası sayar.</w:t>
      </w:r>
    </w:p>
    <w:p w14:paraId="16483C47" w14:textId="77777777" w:rsidR="00AB1F81" w:rsidRDefault="00FE5EAE">
      <w:pPr>
        <w:keepNext/>
        <w:pBdr>
          <w:bottom w:val="single" w:sz="6" w:space="4" w:color="1F3864"/>
        </w:pBdr>
        <w:spacing w:before="320" w:after="140"/>
      </w:pPr>
      <w:r>
        <w:rPr>
          <w:b/>
          <w:bCs/>
          <w:color w:val="1F3864"/>
          <w:sz w:val="25"/>
          <w:szCs w:val="25"/>
        </w:rPr>
        <w:t>8. GÖREVLİLER İÇİN: SALONDA NASIL DAVRANILIR</w:t>
      </w:r>
    </w:p>
    <w:p w14:paraId="6C3D1BA0" w14:textId="77777777" w:rsidR="00AB1F81" w:rsidRDefault="00FE5EAE">
      <w:pPr>
        <w:spacing w:after="130" w:line="276" w:lineRule="auto"/>
        <w:jc w:val="both"/>
      </w:pPr>
      <w:r>
        <w:t>Hakemler, personel ve gönüllüler için kısa davranış kuralları aşağıdadır. Bu kurallar her etkinlik brifinginde tekrarlanır.</w:t>
      </w:r>
    </w:p>
    <w:p w14:paraId="7F59ACED" w14:textId="77777777" w:rsidR="00AB1F81" w:rsidRDefault="00FE5EAE">
      <w:pPr>
        <w:spacing w:after="90" w:line="276" w:lineRule="auto"/>
        <w:ind w:left="360" w:hanging="280"/>
        <w:jc w:val="both"/>
      </w:pPr>
      <w:r>
        <w:t xml:space="preserve">•  </w:t>
      </w:r>
      <w:r>
        <w:rPr>
          <w:b/>
          <w:bCs/>
        </w:rPr>
        <w:t xml:space="preserve">Önce sorun. </w:t>
      </w:r>
      <w:r>
        <w:t>Yardıma ihtiyacı olup olmadığını sporcuya sorun; kabul ederse nasıl yardım istediğini sorun. İstenmeyen yardım, yardım değildir.</w:t>
      </w:r>
    </w:p>
    <w:p w14:paraId="2E4BFE34" w14:textId="77777777" w:rsidR="00AB1F81" w:rsidRDefault="00FE5EAE">
      <w:pPr>
        <w:spacing w:after="90" w:line="276" w:lineRule="auto"/>
        <w:ind w:left="360" w:hanging="280"/>
        <w:jc w:val="both"/>
      </w:pPr>
      <w:r>
        <w:t xml:space="preserve">•  </w:t>
      </w:r>
      <w:r>
        <w:rPr>
          <w:b/>
          <w:bCs/>
        </w:rPr>
        <w:t xml:space="preserve">Sporcuyla konuşun. </w:t>
      </w:r>
      <w:r>
        <w:t>Soruyu refakatçiye ya da asistana değil sporcuya yöneltin; tekerlekli sandalye kullanan sporcuyla konuşurken mümkünse göz hizasına inin.</w:t>
      </w:r>
    </w:p>
    <w:p w14:paraId="3463DF57" w14:textId="77777777" w:rsidR="00AB1F81" w:rsidRDefault="00FE5EAE">
      <w:pPr>
        <w:spacing w:after="90" w:line="276" w:lineRule="auto"/>
        <w:ind w:left="360" w:hanging="280"/>
        <w:jc w:val="both"/>
      </w:pPr>
      <w:r>
        <w:lastRenderedPageBreak/>
        <w:t xml:space="preserve">•  </w:t>
      </w:r>
      <w:r>
        <w:rPr>
          <w:b/>
          <w:bCs/>
        </w:rPr>
        <w:t xml:space="preserve">Dokunmayın. </w:t>
      </w:r>
      <w:r>
        <w:t>Tekerlekli sandalye, baston, koltuk değneği ve rehber köpek sporcunun bedeninin uzantısıdır; izinsiz dokunulmaz, itilmez, yönlendirilmez. Rehber köpeğe seslenilmez ve yiyecek verilmez.</w:t>
      </w:r>
    </w:p>
    <w:p w14:paraId="767BED43" w14:textId="77777777" w:rsidR="00AB1F81" w:rsidRDefault="00FE5EAE">
      <w:pPr>
        <w:spacing w:after="90" w:line="276" w:lineRule="auto"/>
        <w:ind w:left="360" w:hanging="280"/>
        <w:jc w:val="both"/>
      </w:pPr>
      <w:r>
        <w:t xml:space="preserve">•  </w:t>
      </w:r>
      <w:r>
        <w:rPr>
          <w:b/>
          <w:bCs/>
        </w:rPr>
        <w:t xml:space="preserve">Görme engelli sporcuya yol gösterirken </w:t>
      </w:r>
      <w:r>
        <w:t>kolunuzu tutmasını teklif edin, yarım adım önünde yürüyün, basamak ve kapıları sözle bildirin; masaya geldiğinde sandalyenin yerini eline dokundurarak gösterin.</w:t>
      </w:r>
    </w:p>
    <w:p w14:paraId="0B4A0952" w14:textId="77777777" w:rsidR="00AB1F81" w:rsidRDefault="00FE5EAE">
      <w:pPr>
        <w:spacing w:after="90" w:line="276" w:lineRule="auto"/>
        <w:ind w:left="360" w:hanging="280"/>
        <w:jc w:val="both"/>
      </w:pPr>
      <w:r>
        <w:t xml:space="preserve">•  </w:t>
      </w:r>
      <w:r>
        <w:rPr>
          <w:b/>
          <w:bCs/>
        </w:rPr>
        <w:t xml:space="preserve">İşitme engelli sporcuyla </w:t>
      </w:r>
      <w:r>
        <w:t>yüz yüze ve normal hızda konuşun, gerekirse yazın; arkasından seslenmek yerine görüş alanına girin.</w:t>
      </w:r>
    </w:p>
    <w:p w14:paraId="32544A82" w14:textId="77777777" w:rsidR="00AB1F81" w:rsidRDefault="00FE5EAE">
      <w:pPr>
        <w:spacing w:after="90" w:line="276" w:lineRule="auto"/>
        <w:ind w:left="360" w:hanging="280"/>
        <w:jc w:val="both"/>
      </w:pPr>
      <w:r>
        <w:t xml:space="preserve">•  </w:t>
      </w:r>
      <w:r>
        <w:rPr>
          <w:b/>
          <w:bCs/>
        </w:rPr>
        <w:t xml:space="preserve">Sabırlı olun. </w:t>
      </w:r>
      <w:r>
        <w:t>Konuşma ya da hareket güçlüğü olan sporcunun cümlesini tamamlamayın, acele ettirmeyin; anlamadıysanız tekrar isteyin.</w:t>
      </w:r>
    </w:p>
    <w:p w14:paraId="66BB2E26" w14:textId="77777777" w:rsidR="00AB1F81" w:rsidRDefault="00FE5EAE">
      <w:pPr>
        <w:spacing w:after="90" w:line="276" w:lineRule="auto"/>
        <w:ind w:left="360" w:hanging="280"/>
        <w:jc w:val="both"/>
      </w:pPr>
      <w:r>
        <w:t xml:space="preserve">•  </w:t>
      </w:r>
      <w:r>
        <w:rPr>
          <w:b/>
          <w:bCs/>
        </w:rPr>
        <w:t xml:space="preserve">Dil. </w:t>
      </w:r>
      <w:r>
        <w:t>'Engelli sporcu' deyin; 'özürlü', 'sakat', 'engelini aşan' gibi ifadeler kullanmayın. Sporcunun engelini başkalarının yanında konu etmeyin.</w:t>
      </w:r>
    </w:p>
    <w:p w14:paraId="35E6483D" w14:textId="77777777" w:rsidR="00AB1F81" w:rsidRDefault="00FE5EAE">
      <w:pPr>
        <w:spacing w:after="90" w:line="276" w:lineRule="auto"/>
        <w:ind w:left="360" w:hanging="280"/>
        <w:jc w:val="both"/>
      </w:pPr>
      <w:r>
        <w:t xml:space="preserve">•  </w:t>
      </w:r>
      <w:r>
        <w:rPr>
          <w:b/>
          <w:bCs/>
        </w:rPr>
        <w:t xml:space="preserve">Kayıt tutun. </w:t>
      </w:r>
      <w:r>
        <w:t>Erişilebilirlikle ilgili her talebi, sorunu ve çözümü olay günlüğüne yazın; çözemediğiniz bir durumu erişilebilirlik sorumlusuna hemen iletin.</w:t>
      </w:r>
    </w:p>
    <w:p w14:paraId="5E6E1D3B" w14:textId="77777777" w:rsidR="00AB1F81" w:rsidRDefault="00FE5EAE">
      <w:pPr>
        <w:keepNext/>
        <w:pBdr>
          <w:bottom w:val="single" w:sz="6" w:space="4" w:color="1F3864"/>
        </w:pBdr>
        <w:spacing w:before="320" w:after="140"/>
      </w:pPr>
      <w:r>
        <w:rPr>
          <w:b/>
          <w:bCs/>
          <w:color w:val="1F3864"/>
          <w:sz w:val="25"/>
          <w:szCs w:val="25"/>
        </w:rPr>
        <w:t>9. TALEP, ŞİKÂYET VE GERİ BİLDİRİM</w:t>
      </w:r>
    </w:p>
    <w:p w14:paraId="41644ECE" w14:textId="77777777" w:rsidR="00AB1F81" w:rsidRDefault="00FE5EAE">
      <w:pPr>
        <w:spacing w:after="130" w:line="276" w:lineRule="auto"/>
        <w:jc w:val="both"/>
      </w:pPr>
      <w:r>
        <w:t>Her etkinliğin bir erişilebilirlik sorumlusu vardır; adı ve iletişim bilgisi yönergede yayımlanır ve etkinlik boyunca bilgi masasından ulaşılabilir. Sporcu ihtiyacını kayıt formunda, etkinlikten önce sorumluya yazarak ya da salonda bilgi masasına başvurarak bildirebilir. Yerinde çözülemeyen her başvuru kayıt numarası alır ve federasyonun şikâyet cevap süresi içinde yazılı olarak cevaplanır. Federasyonun erişilebilirlikle ilgili genel başvuruları için iletişim kanalı federasyon sitesinde bu rehberle birlikte yayımlanır.</w:t>
      </w:r>
    </w:p>
    <w:p w14:paraId="402FFDAB" w14:textId="77777777" w:rsidR="00AB1F81" w:rsidRDefault="00FE5EAE">
      <w:pPr>
        <w:spacing w:after="130" w:line="276" w:lineRule="auto"/>
        <w:jc w:val="both"/>
      </w:pPr>
      <w:r>
        <w:t>Federasyon, bu rehberi ve kontrol listesini her yıl, etkinlik kayıtlarından ve engelli sporcu ile kuruluşlardan gelen görüşlerden yararlanarak günceller. Görme engelli, bedensel engelli ve işitme engelli sporcuların federasyonlarıyla ortak çalışma, güncellemenin düzenli parçasıdır.</w:t>
      </w:r>
    </w:p>
    <w:p w14:paraId="0C2351E1" w14:textId="77777777" w:rsidR="00AB1F81" w:rsidRDefault="00FE5EAE">
      <w:pPr>
        <w:keepNext/>
        <w:pBdr>
          <w:bottom w:val="single" w:sz="6" w:space="4" w:color="1F3864"/>
        </w:pBdr>
        <w:spacing w:before="320" w:after="140"/>
      </w:pPr>
      <w:r>
        <w:rPr>
          <w:b/>
          <w:bCs/>
          <w:color w:val="1F3864"/>
          <w:sz w:val="25"/>
          <w:szCs w:val="25"/>
        </w:rPr>
        <w:t>10. DAYANAK</w:t>
      </w:r>
    </w:p>
    <w:p w14:paraId="4208E687" w14:textId="77777777" w:rsidR="00AB1F81" w:rsidRDefault="00FE5EAE">
      <w:pPr>
        <w:spacing w:after="90" w:line="276" w:lineRule="auto"/>
        <w:ind w:left="360" w:hanging="280"/>
        <w:jc w:val="both"/>
      </w:pPr>
      <w:r>
        <w:t xml:space="preserve">•  </w:t>
      </w:r>
      <w:r>
        <w:rPr>
          <w:b/>
          <w:bCs/>
        </w:rPr>
        <w:t xml:space="preserve">Engelliler Hakkında Kanun (5378 sayılı): </w:t>
      </w:r>
      <w:r>
        <w:t>Kamuya açık hizmet ve mekânlarda erişilebilirlik yükümlülüğü ile Erişilebilirlik İzleme ve Denetleme Yönetmeliği.</w:t>
      </w:r>
    </w:p>
    <w:p w14:paraId="6A808EF3" w14:textId="77777777" w:rsidR="00AB1F81" w:rsidRDefault="00FE5EAE">
      <w:pPr>
        <w:spacing w:after="90" w:line="276" w:lineRule="auto"/>
        <w:ind w:left="360" w:hanging="280"/>
        <w:jc w:val="both"/>
      </w:pPr>
      <w:r>
        <w:t xml:space="preserve">•  </w:t>
      </w:r>
      <w:r>
        <w:rPr>
          <w:b/>
          <w:bCs/>
        </w:rPr>
        <w:t xml:space="preserve">TS 9111: </w:t>
      </w:r>
      <w:r>
        <w:t>Türk Standardları Enstitüsü'nün binalarda engelliler ve hareket kısıtlılığı bulunan kişiler için erişilebilirlik gerekleri standardı; bu rehberdeki rampa, kapı, koridor, asansör ve tuvalet ölçüleri bu standarda dayanır.</w:t>
      </w:r>
    </w:p>
    <w:p w14:paraId="60F8EC2C" w14:textId="77777777" w:rsidR="00AB1F81" w:rsidRDefault="00FE5EAE">
      <w:pPr>
        <w:spacing w:after="90" w:line="276" w:lineRule="auto"/>
        <w:ind w:left="360" w:hanging="280"/>
        <w:jc w:val="both"/>
      </w:pPr>
      <w:r>
        <w:t xml:space="preserve">•  </w:t>
      </w:r>
      <w:r>
        <w:rPr>
          <w:b/>
          <w:bCs/>
        </w:rPr>
        <w:t xml:space="preserve">FIDE Satranç Kuralları: </w:t>
      </w:r>
      <w:r>
        <w:t>Görme engelli sporcularla yarışmaya ilişkin özel hükümler ile FIDE Engelliler Komisyonu'nun turnuva organizasyonuna yönelik rehberleri.</w:t>
      </w:r>
    </w:p>
    <w:p w14:paraId="48894367" w14:textId="77777777" w:rsidR="00AB1F81" w:rsidRDefault="00FE5EAE">
      <w:pPr>
        <w:spacing w:after="90" w:line="276" w:lineRule="auto"/>
        <w:ind w:left="360" w:hanging="280"/>
        <w:jc w:val="both"/>
      </w:pPr>
      <w:r>
        <w:t xml:space="preserve">•  </w:t>
      </w:r>
      <w:r>
        <w:rPr>
          <w:b/>
          <w:bCs/>
        </w:rPr>
        <w:t xml:space="preserve">Federasyon belgeleri: </w:t>
      </w:r>
      <w:r>
        <w:t>Organizasyon şartnamesi eki Erişilebilirlik Kontrol Listesi; Türkiye Küçükler ve Yıldızlar Şampiyonası Organizasyon Standardı (S-07 Salon, Oturma ve Bekleme Alanı; S-10 Sağlık, Güvenlik ve Çocuk Koruma).</w:t>
      </w:r>
    </w:p>
    <w:sectPr w:rsidR="00AB1F81">
      <w:footerReference w:type="default" r:id="rId7"/>
      <w:pgSz w:w="11906" w:h="16838"/>
      <w:pgMar w:top="1100" w:right="1150" w:bottom="1000" w:left="115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05723E98" w14:textId="77777777" w:rsidR="00FE5EAE" w:rsidRDefault="00FE5EAE">
      <w:r>
        <w:separator/>
      </w:r>
    </w:p>
  </w:endnote>
  <w:endnote w:type="continuationSeparator" w:id="0">
    <w:p w14:paraId="1A7A4B88" w14:textId="77777777" w:rsidR="00FE5EAE" w:rsidRDefault="00FE5EA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alibri">
    <w:panose1 w:val="020F0502020204030204"/>
    <w:charset w:val="A2"/>
    <w:family w:val="swiss"/>
    <w:pitch w:val="variable"/>
    <w:sig w:usb0="E4002EFF" w:usb1="C000ACFF"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Segoe UI">
    <w:panose1 w:val="020B0502040204020203"/>
    <w:charset w:val="A2"/>
    <w:family w:val="swiss"/>
    <w:pitch w:val="variable"/>
    <w:sig w:usb0="E4002EFF" w:usb1="C000E47F" w:usb2="00000009" w:usb3="00000000" w:csb0="000001FF" w:csb1="00000000"/>
  </w:font>
  <w:font w:name="Calibri Light">
    <w:panose1 w:val="020F0302020204030204"/>
    <w:charset w:val="A2"/>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73E5A64" w14:textId="77777777" w:rsidR="00AB1F81" w:rsidRDefault="00FE5EAE">
    <w:pPr>
      <w:jc w:val="center"/>
    </w:pPr>
    <w:r>
      <w:rPr>
        <w:color w:val="595959"/>
        <w:sz w:val="16"/>
        <w:szCs w:val="16"/>
      </w:rPr>
      <w:t xml:space="preserve">Türkiye Satranç Federasyonu · Erişilebilir Satranç Rehberi · Sürüm 1 · Ekim 2026 · Sayfa </w:t>
    </w:r>
    <w:r>
      <w:rPr>
        <w:color w:val="595959"/>
        <w:sz w:val="16"/>
        <w:szCs w:val="16"/>
      </w:rPr>
      <w:fldChar w:fldCharType="begin"/>
    </w:r>
    <w:r>
      <w:rPr>
        <w:color w:val="595959"/>
        <w:sz w:val="16"/>
        <w:szCs w:val="16"/>
      </w:rPr>
      <w:instrText>PAGE</w:instrText>
    </w:r>
    <w:r>
      <w:rPr>
        <w:color w:val="595959"/>
        <w:sz w:val="16"/>
        <w:szCs w:val="16"/>
      </w:rPr>
      <w:fldChar w:fldCharType="separate"/>
    </w:r>
    <w:r w:rsidR="007A5CAC">
      <w:rPr>
        <w:noProof/>
        <w:color w:val="595959"/>
        <w:sz w:val="16"/>
        <w:szCs w:val="16"/>
      </w:rPr>
      <w:t>4</w:t>
    </w:r>
    <w:r>
      <w:rPr>
        <w:color w:val="595959"/>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487796A5" w14:textId="77777777" w:rsidR="00FE5EAE" w:rsidRDefault="00FE5EAE">
      <w:r>
        <w:separator/>
      </w:r>
    </w:p>
  </w:footnote>
  <w:footnote w:type="continuationSeparator" w:id="0">
    <w:p w14:paraId="232C6F84" w14:textId="77777777" w:rsidR="00FE5EAE" w:rsidRDefault="00FE5EA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432F1182"/>
    <w:multiLevelType w:val="hybridMultilevel"/>
    <w:tmpl w:val="A08220C2"/>
    <w:lvl w:ilvl="0" w:tplc="310ABF36">
      <w:start w:val="1"/>
      <w:numFmt w:val="bullet"/>
      <w:lvlText w:val="●"/>
      <w:lvlJc w:val="left"/>
      <w:pPr>
        <w:ind w:left="720" w:hanging="360"/>
      </w:pPr>
    </w:lvl>
    <w:lvl w:ilvl="1" w:tplc="1236EA1E">
      <w:start w:val="1"/>
      <w:numFmt w:val="bullet"/>
      <w:lvlText w:val="○"/>
      <w:lvlJc w:val="left"/>
      <w:pPr>
        <w:ind w:left="1440" w:hanging="360"/>
      </w:pPr>
    </w:lvl>
    <w:lvl w:ilvl="2" w:tplc="4718F238">
      <w:start w:val="1"/>
      <w:numFmt w:val="bullet"/>
      <w:lvlText w:val="■"/>
      <w:lvlJc w:val="left"/>
      <w:pPr>
        <w:ind w:left="2160" w:hanging="360"/>
      </w:pPr>
    </w:lvl>
    <w:lvl w:ilvl="3" w:tplc="F6EA1092">
      <w:start w:val="1"/>
      <w:numFmt w:val="bullet"/>
      <w:lvlText w:val="●"/>
      <w:lvlJc w:val="left"/>
      <w:pPr>
        <w:ind w:left="2880" w:hanging="360"/>
      </w:pPr>
    </w:lvl>
    <w:lvl w:ilvl="4" w:tplc="10640B9C">
      <w:start w:val="1"/>
      <w:numFmt w:val="bullet"/>
      <w:lvlText w:val="○"/>
      <w:lvlJc w:val="left"/>
      <w:pPr>
        <w:ind w:left="3600" w:hanging="360"/>
      </w:pPr>
    </w:lvl>
    <w:lvl w:ilvl="5" w:tplc="A15CC412">
      <w:start w:val="1"/>
      <w:numFmt w:val="bullet"/>
      <w:lvlText w:val="■"/>
      <w:lvlJc w:val="left"/>
      <w:pPr>
        <w:ind w:left="4320" w:hanging="360"/>
      </w:pPr>
    </w:lvl>
    <w:lvl w:ilvl="6" w:tplc="71322E40">
      <w:start w:val="1"/>
      <w:numFmt w:val="bullet"/>
      <w:lvlText w:val="●"/>
      <w:lvlJc w:val="left"/>
      <w:pPr>
        <w:ind w:left="5040" w:hanging="360"/>
      </w:pPr>
    </w:lvl>
    <w:lvl w:ilvl="7" w:tplc="93C2E7E4">
      <w:start w:val="1"/>
      <w:numFmt w:val="bullet"/>
      <w:lvlText w:val="●"/>
      <w:lvlJc w:val="left"/>
      <w:pPr>
        <w:ind w:left="5760" w:hanging="360"/>
      </w:pPr>
    </w:lvl>
    <w:lvl w:ilvl="8" w:tplc="99189F7A">
      <w:start w:val="1"/>
      <w:numFmt w:val="bullet"/>
      <w:lvlText w:val="●"/>
      <w:lvlJc w:val="left"/>
      <w:pPr>
        <w:ind w:left="6480" w:hanging="360"/>
      </w:pPr>
    </w:lvl>
  </w:abstractNum>
  <w:num w:numId="1" w16cid:durableId="262035040">
    <w:abstractNumId w:val="0"/>
    <w:lvlOverride w:ilvl="0">
      <w:startOverride w:val="1"/>
    </w:lvlOverride>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65"/>
  <w:displayBackgroundShape/>
  <w:revisionView w:formatting="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B1F81"/>
    <w:rsid w:val="00003D23"/>
    <w:rsid w:val="00004216"/>
    <w:rsid w:val="00560AAA"/>
    <w:rsid w:val="005E0157"/>
    <w:rsid w:val="007A5CAC"/>
    <w:rsid w:val="00927C14"/>
    <w:rsid w:val="00AB1F81"/>
    <w:rsid w:val="00B35360"/>
    <w:rsid w:val="00D95A9C"/>
    <w:rsid w:val="00E026EB"/>
    <w:rsid w:val="00E52FA4"/>
    <w:rsid w:val="00E90356"/>
    <w:rsid w:val="00FE5EAE"/>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DAB422"/>
  <w15:docId w15:val="{3F4DB32A-14F4-44C2-B169-F05EAB3504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Calibri" w:eastAsia="Calibri" w:hAnsi="Calibri" w:cs="Calibri"/>
        <w:lang w:val="tr-TR" w:eastAsia="tr-T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Balk1">
    <w:name w:val="heading 1"/>
    <w:qFormat/>
    <w:pPr>
      <w:outlineLvl w:val="0"/>
    </w:pPr>
    <w:rPr>
      <w:color w:val="2E74B5"/>
      <w:sz w:val="32"/>
      <w:szCs w:val="32"/>
    </w:rPr>
  </w:style>
  <w:style w:type="paragraph" w:styleId="Balk2">
    <w:name w:val="heading 2"/>
    <w:qFormat/>
    <w:pPr>
      <w:outlineLvl w:val="1"/>
    </w:pPr>
    <w:rPr>
      <w:color w:val="2E74B5"/>
      <w:sz w:val="26"/>
      <w:szCs w:val="26"/>
    </w:rPr>
  </w:style>
  <w:style w:type="paragraph" w:styleId="Balk3">
    <w:name w:val="heading 3"/>
    <w:qFormat/>
    <w:pPr>
      <w:outlineLvl w:val="2"/>
    </w:pPr>
    <w:rPr>
      <w:color w:val="1F4D78"/>
      <w:sz w:val="24"/>
      <w:szCs w:val="24"/>
    </w:rPr>
  </w:style>
  <w:style w:type="paragraph" w:styleId="Balk4">
    <w:name w:val="heading 4"/>
    <w:qFormat/>
    <w:pPr>
      <w:outlineLvl w:val="3"/>
    </w:pPr>
    <w:rPr>
      <w:i/>
      <w:iCs/>
      <w:color w:val="2E74B5"/>
    </w:rPr>
  </w:style>
  <w:style w:type="paragraph" w:styleId="Balk5">
    <w:name w:val="heading 5"/>
    <w:qFormat/>
    <w:pPr>
      <w:outlineLvl w:val="4"/>
    </w:pPr>
    <w:rPr>
      <w:color w:val="2E74B5"/>
    </w:rPr>
  </w:style>
  <w:style w:type="paragraph" w:styleId="Balk6">
    <w:name w:val="heading 6"/>
    <w:qFormat/>
    <w:pPr>
      <w:outlineLvl w:val="5"/>
    </w:pPr>
    <w:rPr>
      <w:color w:val="1F4D78"/>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KonuBal">
    <w:name w:val="Title"/>
    <w:qFormat/>
    <w:rPr>
      <w:sz w:val="56"/>
      <w:szCs w:val="56"/>
    </w:rPr>
  </w:style>
  <w:style w:type="paragraph" w:customStyle="1" w:styleId="Gl1">
    <w:name w:val="Güçlü1"/>
    <w:qFormat/>
    <w:rPr>
      <w:b/>
      <w:bCs/>
    </w:rPr>
  </w:style>
  <w:style w:type="paragraph" w:styleId="ListeParagraf">
    <w:name w:val="List Paragraph"/>
    <w:qFormat/>
  </w:style>
  <w:style w:type="character" w:styleId="Kpr">
    <w:name w:val="Hyperlink"/>
    <w:uiPriority w:val="99"/>
    <w:unhideWhenUsed/>
    <w:rPr>
      <w:color w:val="0563C1"/>
      <w:u w:val="single"/>
    </w:rPr>
  </w:style>
  <w:style w:type="character" w:styleId="DipnotBavurusu">
    <w:name w:val="footnote reference"/>
    <w:uiPriority w:val="99"/>
    <w:semiHidden/>
    <w:unhideWhenUsed/>
    <w:rPr>
      <w:vertAlign w:val="superscript"/>
    </w:rPr>
  </w:style>
  <w:style w:type="paragraph" w:styleId="DipnotMetni">
    <w:name w:val="footnote text"/>
    <w:link w:val="DipnotMetniChar"/>
    <w:uiPriority w:val="99"/>
    <w:semiHidden/>
    <w:unhideWhenUsed/>
  </w:style>
  <w:style w:type="character" w:customStyle="1" w:styleId="DipnotMetniChar">
    <w:name w:val="Dipnot Metni Char"/>
    <w:link w:val="DipnotMetni"/>
    <w:uiPriority w:val="99"/>
    <w:semiHidden/>
    <w:unhideWhenUsed/>
    <w:rPr>
      <w:sz w:val="20"/>
      <w:szCs w:val="20"/>
    </w:rPr>
  </w:style>
  <w:style w:type="character" w:styleId="SonNotBavurusu">
    <w:name w:val="endnote reference"/>
    <w:uiPriority w:val="99"/>
    <w:semiHidden/>
    <w:unhideWhenUsed/>
    <w:rPr>
      <w:vertAlign w:val="superscript"/>
    </w:rPr>
  </w:style>
  <w:style w:type="paragraph" w:styleId="SonNotMetni">
    <w:name w:val="endnote text"/>
    <w:link w:val="SonNotMetniChar"/>
    <w:uiPriority w:val="99"/>
    <w:semiHidden/>
    <w:unhideWhenUsed/>
  </w:style>
  <w:style w:type="character" w:customStyle="1" w:styleId="SonNotMetniChar">
    <w:name w:val="Son Not Metni Char"/>
    <w:link w:val="SonNotMetni"/>
    <w:uiPriority w:val="99"/>
    <w:semiHidden/>
    <w:unhideWhenUsed/>
    <w:rPr>
      <w:sz w:val="20"/>
      <w:szCs w:val="20"/>
    </w:rPr>
  </w:style>
  <w:style w:type="paragraph" w:styleId="BalonMetni">
    <w:name w:val="Balloon Text"/>
    <w:basedOn w:val="Normal"/>
    <w:link w:val="BalonMetniChar"/>
    <w:uiPriority w:val="99"/>
    <w:semiHidden/>
    <w:unhideWhenUsed/>
    <w:rsid w:val="00927C14"/>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927C14"/>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2060</Words>
  <Characters>11748</Characters>
  <Application>Microsoft Office Word</Application>
  <DocSecurity>0</DocSecurity>
  <Lines>97</Lines>
  <Paragraphs>27</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13781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Enes EFENDİOĞLU</cp:lastModifiedBy>
  <cp:revision>2</cp:revision>
  <dcterms:created xsi:type="dcterms:W3CDTF">2026-10-29T13:05:00Z</dcterms:created>
  <dcterms:modified xsi:type="dcterms:W3CDTF">2026-10-29T13:05:00Z</dcterms:modified>
</cp:coreProperties>
</file>